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楷体_GB2312" w:hAnsi="楷体_GB2312" w:eastAsia="楷体_GB2312" w:cs="楷体_GB2312"/>
          <w:b/>
          <w:bCs/>
          <w:sz w:val="48"/>
          <w:szCs w:val="48"/>
        </w:rPr>
      </w:pPr>
      <w:r>
        <w:rPr>
          <w:rFonts w:hint="eastAsia" w:ascii="楷体_GB2312" w:hAnsi="楷体_GB2312" w:eastAsia="楷体_GB2312" w:cs="楷体_GB2312"/>
          <w:b/>
          <w:bCs/>
          <w:sz w:val="48"/>
          <w:szCs w:val="48"/>
          <w:lang w:eastAsia="zh-CN"/>
        </w:rPr>
        <w:t>中共邢台市委党校2018</w:t>
      </w:r>
      <w:r>
        <w:rPr>
          <w:rFonts w:hint="eastAsia" w:ascii="楷体_GB2312" w:hAnsi="楷体_GB2312" w:eastAsia="楷体_GB2312" w:cs="楷体_GB2312"/>
          <w:b/>
          <w:bCs/>
          <w:sz w:val="48"/>
          <w:szCs w:val="48"/>
        </w:rPr>
        <w:t>年部门预算信息公开说明</w:t>
      </w:r>
    </w:p>
    <w:p>
      <w:pPr>
        <w:pStyle w:val="2"/>
        <w:rPr>
          <w:rFonts w:hint="eastAsia" w:ascii="楷体_GB2312" w:hAnsi="楷体_GB2312" w:eastAsia="楷体_GB2312" w:cs="楷体_GB2312"/>
          <w:sz w:val="36"/>
          <w:szCs w:val="36"/>
        </w:rPr>
      </w:pP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bCs/>
          <w:sz w:val="36"/>
          <w:szCs w:val="36"/>
        </w:rPr>
        <w:t xml:space="preserve">  </w:t>
      </w: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b w:val="0"/>
          <w:bCs w:val="0"/>
          <w:sz w:val="32"/>
          <w:szCs w:val="32"/>
        </w:rPr>
        <w:t xml:space="preserve"> 按照《预算法》、《地方预决算公开操作规程》和《河北省省级预算公开办法》规定，现将</w:t>
      </w:r>
      <w:r>
        <w:rPr>
          <w:rFonts w:hint="eastAsia" w:ascii="楷体_GB2312" w:hAnsi="楷体_GB2312" w:eastAsia="楷体_GB2312" w:cs="楷体_GB2312"/>
          <w:b w:val="0"/>
          <w:bCs w:val="0"/>
          <w:sz w:val="32"/>
          <w:szCs w:val="32"/>
          <w:lang w:eastAsia="zh-CN"/>
        </w:rPr>
        <w:t>中共邢台市委党校2018</w:t>
      </w:r>
      <w:r>
        <w:rPr>
          <w:rFonts w:hint="eastAsia" w:ascii="楷体_GB2312" w:hAnsi="楷体_GB2312" w:eastAsia="楷体_GB2312" w:cs="楷体_GB2312"/>
          <w:b w:val="0"/>
          <w:bCs w:val="0"/>
          <w:sz w:val="32"/>
          <w:szCs w:val="32"/>
        </w:rPr>
        <w:t>年部门预算公开如下：</w:t>
      </w:r>
    </w:p>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 部门职责及机构设置情况</w:t>
      </w:r>
    </w:p>
    <w:p>
      <w:pPr>
        <w:pStyle w:val="2"/>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　　</w:t>
      </w:r>
      <w:r>
        <w:rPr>
          <w:rFonts w:hint="eastAsia" w:ascii="仿宋_GB2312" w:hAnsi="仿宋_GB2312" w:eastAsia="仿宋_GB2312" w:cs="仿宋_GB2312"/>
          <w:b w:val="0"/>
          <w:bCs w:val="0"/>
          <w:sz w:val="32"/>
          <w:szCs w:val="32"/>
        </w:rPr>
        <w:t>部门职责：</w:t>
      </w:r>
    </w:p>
    <w:p>
      <w:pPr>
        <w:pStyle w:val="2"/>
        <w:rPr>
          <w:rFonts w:hint="eastAsia" w:ascii="楷体_GB2312" w:hAnsi="楷体_GB2312" w:eastAsia="楷体_GB2312" w:cs="楷体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楷体_GB2312" w:hAnsi="楷体_GB2312" w:eastAsia="楷体_GB2312" w:cs="楷体_GB2312"/>
          <w:b w:val="0"/>
          <w:bCs w:val="0"/>
          <w:sz w:val="32"/>
          <w:szCs w:val="32"/>
        </w:rPr>
        <w:t>（一）根据中央、省党委大规模培训干部、大幅度提高干部素质和市委加强干部队伍建设的要求，有计划地培训、轮训本地区县处级、科级党员领导干部、后备干部、少数民族干部、党外民主人士干部、妇女干部、青年干部、理论宣传骨干及乡党组织书记、村委会主任等。</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（二）负责承办省委党校在本地区的研究生学历教育。</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三）围绕市委中心工作，对本地区经济社会发展中出现的新情况、新问题开展理论和政策研究；为市委、市政府有关全市经济和社会发展的重要决策提供咨询研究和资政服务；组织专家学者研究全市经济社会发展的重要决策课题，开展调查研究，对全局性的经济社会决策问题进行形势分析和预测，发挥智库作用。</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（四）通过教学培训、科研活动、理论下基层宣讲等工作，积极宣传中央、省委、市委决策部署，阐释时政热点，解读政策举措。</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（五）加强县级党校工作指导，建立指导日常管理，统筹培训计划、班次学制、科研协作、师资调配、教学评估的运行机制，全面提升办学质量和水平。</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机构设置 </w:t>
      </w:r>
      <w:r>
        <w:rPr>
          <w:rFonts w:hint="eastAsia" w:ascii="楷体_GB2312" w:hAnsi="楷体_GB2312" w:eastAsia="楷体_GB2312" w:cs="楷体_GB2312"/>
          <w:b w:val="0"/>
          <w:bCs w:val="0"/>
          <w:sz w:val="32"/>
          <w:szCs w:val="32"/>
          <w:lang w:val="en-US" w:eastAsia="zh-CN"/>
        </w:rPr>
        <w:t>:</w:t>
      </w:r>
    </w:p>
    <w:p>
      <w:pPr>
        <w:pStyle w:val="2"/>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中共邢台市委党校</w:t>
      </w:r>
      <w:r>
        <w:rPr>
          <w:rFonts w:hint="eastAsia" w:ascii="楷体_GB2312" w:hAnsi="楷体_GB2312" w:eastAsia="楷体_GB2312" w:cs="楷体_GB2312"/>
          <w:b/>
          <w:bCs/>
          <w:sz w:val="32"/>
          <w:szCs w:val="32"/>
        </w:rPr>
        <w:t>部门机构设置情况：</w:t>
      </w:r>
    </w:p>
    <w:tbl>
      <w:tblPr>
        <w:tblStyle w:val="4"/>
        <w:tblW w:w="120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5"/>
        <w:gridCol w:w="3085"/>
        <w:gridCol w:w="2158"/>
        <w:gridCol w:w="3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sz w:val="32"/>
                <w:szCs w:val="32"/>
              </w:rPr>
              <w:t>单位名称</w:t>
            </w:r>
          </w:p>
        </w:tc>
        <w:tc>
          <w:tcPr>
            <w:tcW w:w="30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sz w:val="32"/>
                <w:szCs w:val="32"/>
              </w:rPr>
              <w:t>单位性质</w:t>
            </w:r>
          </w:p>
        </w:tc>
        <w:tc>
          <w:tcPr>
            <w:tcW w:w="2158"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sz w:val="32"/>
                <w:szCs w:val="32"/>
              </w:rPr>
              <w:t>单位规格</w:t>
            </w:r>
          </w:p>
        </w:tc>
        <w:tc>
          <w:tcPr>
            <w:tcW w:w="314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sz w:val="32"/>
                <w:szCs w:val="32"/>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6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中共邢台市委党校</w:t>
            </w:r>
          </w:p>
        </w:tc>
        <w:tc>
          <w:tcPr>
            <w:tcW w:w="30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事业</w:t>
            </w:r>
          </w:p>
        </w:tc>
        <w:tc>
          <w:tcPr>
            <w:tcW w:w="2158"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正处级</w:t>
            </w:r>
          </w:p>
        </w:tc>
        <w:tc>
          <w:tcPr>
            <w:tcW w:w="314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财政性资金基本保证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30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2158"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314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308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2158"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c>
          <w:tcPr>
            <w:tcW w:w="3145" w:type="dxa"/>
            <w:vAlign w:val="top"/>
          </w:tcPr>
          <w:p>
            <w:pPr>
              <w:autoSpaceDE w:val="0"/>
              <w:autoSpaceDN w:val="0"/>
              <w:adjustRightInd w:val="0"/>
              <w:jc w:val="center"/>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w:t>
            </w:r>
          </w:p>
        </w:tc>
      </w:tr>
    </w:tbl>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二、部门预算安排的总体情况</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按照预算管理有关规定，目前我局部门预算的编制实行综合预算制度，即全部收入和支出都反映预算中。邢台市财政局机关及所属事业单位的收支包含在部门预算中。</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1、收入说明</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反映本部门当年全部收入。</w:t>
      </w:r>
      <w:r>
        <w:rPr>
          <w:rFonts w:hint="eastAsia" w:ascii="楷体_GB2312" w:hAnsi="楷体_GB2312" w:eastAsia="楷体_GB2312" w:cs="楷体_GB2312"/>
          <w:b w:val="0"/>
          <w:bCs w:val="0"/>
          <w:sz w:val="32"/>
          <w:szCs w:val="32"/>
          <w:lang w:eastAsia="zh-CN"/>
        </w:rPr>
        <w:t>2018</w:t>
      </w:r>
      <w:r>
        <w:rPr>
          <w:rFonts w:hint="eastAsia" w:ascii="楷体_GB2312" w:hAnsi="楷体_GB2312" w:eastAsia="楷体_GB2312" w:cs="楷体_GB2312"/>
          <w:b w:val="0"/>
          <w:bCs w:val="0"/>
          <w:sz w:val="32"/>
          <w:szCs w:val="32"/>
        </w:rPr>
        <w:t>年财政拨款预算收入</w:t>
      </w:r>
      <w:r>
        <w:rPr>
          <w:rFonts w:hint="eastAsia" w:ascii="楷体_GB2312" w:hAnsi="楷体_GB2312" w:eastAsia="楷体_GB2312" w:cs="楷体_GB2312"/>
          <w:b w:val="0"/>
          <w:bCs w:val="0"/>
          <w:sz w:val="32"/>
          <w:szCs w:val="32"/>
          <w:lang w:val="en-US" w:eastAsia="zh-CN"/>
        </w:rPr>
        <w:t>1540.37</w:t>
      </w:r>
      <w:r>
        <w:rPr>
          <w:rFonts w:hint="eastAsia" w:ascii="楷体_GB2312" w:hAnsi="楷体_GB2312" w:eastAsia="楷体_GB2312" w:cs="楷体_GB2312"/>
          <w:b w:val="0"/>
          <w:bCs w:val="0"/>
          <w:sz w:val="32"/>
          <w:szCs w:val="32"/>
        </w:rPr>
        <w:t>万元。</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2、支出说明</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收支预算总表支出栏、基本支出表、项目支出表按经济分类和支出功能分类科目编制，反映</w:t>
      </w:r>
      <w:r>
        <w:rPr>
          <w:rFonts w:hint="eastAsia" w:ascii="楷体_GB2312" w:hAnsi="楷体_GB2312" w:eastAsia="楷体_GB2312" w:cs="楷体_GB2312"/>
          <w:b w:val="0"/>
          <w:bCs w:val="0"/>
          <w:sz w:val="32"/>
          <w:szCs w:val="32"/>
          <w:lang w:eastAsia="zh-CN"/>
        </w:rPr>
        <w:t>中共邢台市委党校</w:t>
      </w:r>
      <w:r>
        <w:rPr>
          <w:rFonts w:hint="eastAsia" w:ascii="楷体_GB2312" w:hAnsi="楷体_GB2312" w:eastAsia="楷体_GB2312" w:cs="楷体_GB2312"/>
          <w:b w:val="0"/>
          <w:bCs w:val="0"/>
          <w:sz w:val="32"/>
          <w:szCs w:val="32"/>
        </w:rPr>
        <w:t>年度部门预算中支出预算的总体情况。</w:t>
      </w:r>
      <w:r>
        <w:rPr>
          <w:rFonts w:hint="eastAsia" w:ascii="楷体_GB2312" w:hAnsi="楷体_GB2312" w:eastAsia="楷体_GB2312" w:cs="楷体_GB2312"/>
          <w:b w:val="0"/>
          <w:bCs w:val="0"/>
          <w:sz w:val="32"/>
          <w:szCs w:val="32"/>
          <w:lang w:eastAsia="zh-CN"/>
        </w:rPr>
        <w:t>2018</w:t>
      </w:r>
      <w:r>
        <w:rPr>
          <w:rFonts w:hint="eastAsia" w:ascii="楷体_GB2312" w:hAnsi="楷体_GB2312" w:eastAsia="楷体_GB2312" w:cs="楷体_GB2312"/>
          <w:b w:val="0"/>
          <w:bCs w:val="0"/>
          <w:sz w:val="32"/>
          <w:szCs w:val="32"/>
        </w:rPr>
        <w:t>年支出预算</w:t>
      </w:r>
      <w:r>
        <w:rPr>
          <w:rFonts w:hint="eastAsia" w:ascii="楷体_GB2312" w:hAnsi="楷体_GB2312" w:eastAsia="楷体_GB2312" w:cs="楷体_GB2312"/>
          <w:b w:val="0"/>
          <w:bCs w:val="0"/>
          <w:sz w:val="32"/>
          <w:szCs w:val="32"/>
          <w:lang w:val="en-US" w:eastAsia="zh-CN"/>
        </w:rPr>
        <w:t>1540.37</w:t>
      </w:r>
      <w:r>
        <w:rPr>
          <w:rFonts w:hint="eastAsia" w:ascii="楷体_GB2312" w:hAnsi="楷体_GB2312" w:eastAsia="楷体_GB2312" w:cs="楷体_GB2312"/>
          <w:b w:val="0"/>
          <w:bCs w:val="0"/>
          <w:sz w:val="32"/>
          <w:szCs w:val="32"/>
        </w:rPr>
        <w:t>万元，其中教育支出</w:t>
      </w:r>
      <w:r>
        <w:rPr>
          <w:rFonts w:hint="eastAsia" w:ascii="楷体_GB2312" w:hAnsi="楷体_GB2312" w:eastAsia="楷体_GB2312" w:cs="楷体_GB2312"/>
          <w:b w:val="0"/>
          <w:bCs w:val="0"/>
          <w:sz w:val="32"/>
          <w:szCs w:val="32"/>
          <w:lang w:val="en-US" w:eastAsia="zh-CN"/>
        </w:rPr>
        <w:t>1540.37</w:t>
      </w:r>
      <w:r>
        <w:rPr>
          <w:rFonts w:hint="eastAsia" w:ascii="楷体_GB2312" w:hAnsi="楷体_GB2312" w:eastAsia="楷体_GB2312" w:cs="楷体_GB2312"/>
          <w:b w:val="0"/>
          <w:bCs w:val="0"/>
          <w:sz w:val="32"/>
          <w:szCs w:val="32"/>
        </w:rPr>
        <w:t>万元，包括</w:t>
      </w:r>
      <w:r>
        <w:rPr>
          <w:rFonts w:hint="eastAsia" w:ascii="楷体_GB2312" w:hAnsi="楷体_GB2312" w:eastAsia="楷体_GB2312" w:cs="楷体_GB2312"/>
          <w:b w:val="0"/>
          <w:bCs w:val="0"/>
          <w:sz w:val="32"/>
          <w:szCs w:val="32"/>
          <w:lang w:eastAsia="zh-CN"/>
        </w:rPr>
        <w:t>人员经费和正常公用经费以及</w:t>
      </w:r>
      <w:r>
        <w:rPr>
          <w:rFonts w:hint="eastAsia" w:ascii="楷体_GB2312" w:hAnsi="楷体_GB2312" w:eastAsia="楷体_GB2312" w:cs="楷体_GB2312"/>
          <w:b w:val="0"/>
          <w:bCs w:val="0"/>
          <w:sz w:val="32"/>
          <w:szCs w:val="32"/>
        </w:rPr>
        <w:t xml:space="preserve">主体班培训项目、市委讲师团行政学院项目和特警驻训配套费用支出等。 </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3、比上年增减情况</w:t>
      </w:r>
    </w:p>
    <w:p>
      <w:pPr>
        <w:pStyle w:val="2"/>
        <w:ind w:firstLine="674"/>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2018</w:t>
      </w:r>
      <w:r>
        <w:rPr>
          <w:rFonts w:hint="eastAsia" w:ascii="楷体_GB2312" w:hAnsi="楷体_GB2312" w:eastAsia="楷体_GB2312" w:cs="楷体_GB2312"/>
          <w:b w:val="0"/>
          <w:bCs w:val="0"/>
          <w:sz w:val="32"/>
          <w:szCs w:val="32"/>
        </w:rPr>
        <w:t>年预算收支安排</w:t>
      </w:r>
      <w:r>
        <w:rPr>
          <w:rFonts w:hint="eastAsia" w:ascii="楷体_GB2312" w:hAnsi="楷体_GB2312" w:eastAsia="楷体_GB2312" w:cs="楷体_GB2312"/>
          <w:b w:val="0"/>
          <w:bCs w:val="0"/>
          <w:sz w:val="32"/>
          <w:szCs w:val="32"/>
          <w:lang w:val="en-US" w:eastAsia="zh-CN"/>
        </w:rPr>
        <w:t>1540.37</w:t>
      </w:r>
      <w:r>
        <w:rPr>
          <w:rFonts w:hint="eastAsia" w:ascii="楷体_GB2312" w:hAnsi="楷体_GB2312" w:eastAsia="楷体_GB2312" w:cs="楷体_GB2312"/>
          <w:b w:val="0"/>
          <w:bCs w:val="0"/>
          <w:sz w:val="32"/>
          <w:szCs w:val="32"/>
        </w:rPr>
        <w:t>万元，较201</w:t>
      </w:r>
      <w:r>
        <w:rPr>
          <w:rFonts w:hint="eastAsia" w:ascii="楷体_GB2312" w:hAnsi="楷体_GB2312" w:eastAsia="楷体_GB2312" w:cs="楷体_GB2312"/>
          <w:b w:val="0"/>
          <w:bCs w:val="0"/>
          <w:sz w:val="32"/>
          <w:szCs w:val="32"/>
          <w:lang w:val="en-US" w:eastAsia="zh-CN"/>
        </w:rPr>
        <w:t>7</w:t>
      </w:r>
      <w:r>
        <w:rPr>
          <w:rFonts w:hint="eastAsia" w:ascii="楷体_GB2312" w:hAnsi="楷体_GB2312" w:eastAsia="楷体_GB2312" w:cs="楷体_GB2312"/>
          <w:b w:val="0"/>
          <w:bCs w:val="0"/>
          <w:sz w:val="32"/>
          <w:szCs w:val="32"/>
        </w:rPr>
        <w:t>年预算减少</w:t>
      </w:r>
      <w:r>
        <w:rPr>
          <w:rFonts w:hint="eastAsia" w:ascii="楷体_GB2312" w:hAnsi="楷体_GB2312" w:eastAsia="楷体_GB2312" w:cs="楷体_GB2312"/>
          <w:b w:val="0"/>
          <w:bCs w:val="0"/>
          <w:sz w:val="32"/>
          <w:szCs w:val="32"/>
          <w:lang w:val="en-US" w:eastAsia="zh-CN"/>
        </w:rPr>
        <w:t>155.02</w:t>
      </w:r>
      <w:r>
        <w:rPr>
          <w:rFonts w:hint="eastAsia" w:ascii="楷体_GB2312" w:hAnsi="楷体_GB2312" w:eastAsia="楷体_GB2312" w:cs="楷体_GB2312"/>
          <w:b w:val="0"/>
          <w:bCs w:val="0"/>
          <w:sz w:val="32"/>
          <w:szCs w:val="32"/>
        </w:rPr>
        <w:t>万元，其中：基本支出</w:t>
      </w:r>
      <w:r>
        <w:rPr>
          <w:rFonts w:hint="eastAsia" w:ascii="楷体_GB2312" w:hAnsi="楷体_GB2312" w:eastAsia="楷体_GB2312" w:cs="楷体_GB2312"/>
          <w:b w:val="0"/>
          <w:bCs w:val="0"/>
          <w:sz w:val="32"/>
          <w:szCs w:val="32"/>
          <w:lang w:eastAsia="zh-CN"/>
        </w:rPr>
        <w:t>减少</w:t>
      </w:r>
      <w:r>
        <w:rPr>
          <w:rFonts w:hint="eastAsia" w:ascii="楷体_GB2312" w:hAnsi="楷体_GB2312" w:eastAsia="楷体_GB2312" w:cs="楷体_GB2312"/>
          <w:b w:val="0"/>
          <w:bCs w:val="0"/>
          <w:sz w:val="32"/>
          <w:szCs w:val="32"/>
          <w:lang w:val="en-US" w:eastAsia="zh-CN"/>
        </w:rPr>
        <w:t>86.46</w:t>
      </w:r>
      <w:r>
        <w:rPr>
          <w:rFonts w:hint="eastAsia" w:ascii="楷体_GB2312" w:hAnsi="楷体_GB2312" w:eastAsia="楷体_GB2312" w:cs="楷体_GB2312"/>
          <w:b w:val="0"/>
          <w:bCs w:val="0"/>
          <w:sz w:val="32"/>
          <w:szCs w:val="32"/>
        </w:rPr>
        <w:t>万元，主要</w:t>
      </w:r>
      <w:r>
        <w:rPr>
          <w:rFonts w:hint="eastAsia" w:ascii="楷体_GB2312" w:hAnsi="楷体_GB2312" w:eastAsia="楷体_GB2312" w:cs="楷体_GB2312"/>
          <w:b w:val="0"/>
          <w:bCs w:val="0"/>
          <w:sz w:val="32"/>
          <w:szCs w:val="32"/>
          <w:lang w:eastAsia="zh-CN"/>
        </w:rPr>
        <w:t>原因</w:t>
      </w:r>
      <w:r>
        <w:rPr>
          <w:rFonts w:hint="eastAsia" w:ascii="楷体_GB2312" w:hAnsi="楷体_GB2312" w:eastAsia="楷体_GB2312" w:cs="楷体_GB2312"/>
          <w:b w:val="0"/>
          <w:bCs w:val="0"/>
          <w:sz w:val="32"/>
          <w:szCs w:val="32"/>
        </w:rPr>
        <w:t>为</w:t>
      </w:r>
      <w:r>
        <w:rPr>
          <w:rFonts w:hint="eastAsia" w:ascii="楷体_GB2312" w:hAnsi="楷体_GB2312" w:eastAsia="楷体_GB2312" w:cs="楷体_GB2312"/>
          <w:b w:val="0"/>
          <w:bCs w:val="0"/>
          <w:sz w:val="32"/>
          <w:szCs w:val="32"/>
          <w:lang w:eastAsia="zh-CN"/>
        </w:rPr>
        <w:t>退休人员工资发放由财政发放转为由社保中心统一发放</w:t>
      </w:r>
      <w:r>
        <w:rPr>
          <w:rFonts w:hint="eastAsia" w:ascii="楷体_GB2312" w:hAnsi="楷体_GB2312" w:eastAsia="楷体_GB2312" w:cs="楷体_GB2312"/>
          <w:b w:val="0"/>
          <w:bCs w:val="0"/>
          <w:sz w:val="32"/>
          <w:szCs w:val="32"/>
        </w:rPr>
        <w:t>。</w:t>
      </w:r>
    </w:p>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三、机关运行经费安排情况 </w:t>
      </w:r>
    </w:p>
    <w:p>
      <w:pPr>
        <w:pStyle w:val="2"/>
        <w:ind w:firstLine="320" w:firstLineChars="1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机关运行经费共计安排</w:t>
      </w:r>
      <w:r>
        <w:rPr>
          <w:rFonts w:hint="eastAsia" w:ascii="楷体_GB2312" w:hAnsi="楷体_GB2312" w:eastAsia="楷体_GB2312" w:cs="楷体_GB2312"/>
          <w:b w:val="0"/>
          <w:bCs w:val="0"/>
          <w:sz w:val="32"/>
          <w:szCs w:val="32"/>
          <w:lang w:val="en-US" w:eastAsia="zh-CN"/>
        </w:rPr>
        <w:t>146.83</w:t>
      </w:r>
      <w:r>
        <w:rPr>
          <w:rFonts w:hint="eastAsia" w:ascii="楷体_GB2312" w:hAnsi="楷体_GB2312" w:eastAsia="楷体_GB2312" w:cs="楷体_GB2312"/>
          <w:b w:val="0"/>
          <w:bCs w:val="0"/>
          <w:sz w:val="32"/>
          <w:szCs w:val="32"/>
        </w:rPr>
        <w:t>万元，主要用于办公用房水电费、办公用房取暖费、</w:t>
      </w:r>
      <w:r>
        <w:rPr>
          <w:rFonts w:hint="eastAsia" w:ascii="楷体_GB2312" w:hAnsi="楷体_GB2312" w:eastAsia="楷体_GB2312" w:cs="楷体_GB2312"/>
          <w:b w:val="0"/>
          <w:bCs w:val="0"/>
          <w:sz w:val="32"/>
          <w:szCs w:val="32"/>
          <w:lang w:eastAsia="zh-CN"/>
        </w:rPr>
        <w:t>校园维修、</w:t>
      </w:r>
      <w:r>
        <w:rPr>
          <w:rFonts w:hint="eastAsia" w:ascii="楷体_GB2312" w:hAnsi="楷体_GB2312" w:eastAsia="楷体_GB2312" w:cs="楷体_GB2312"/>
          <w:b w:val="0"/>
          <w:bCs w:val="0"/>
          <w:sz w:val="32"/>
          <w:szCs w:val="32"/>
        </w:rPr>
        <w:t>办公用房物业管理费等日常运行支出。</w:t>
      </w:r>
    </w:p>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四、财政拨款“三公”经费预算情况及增减变化原因</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w:t>
      </w:r>
      <w:r>
        <w:rPr>
          <w:rFonts w:hint="eastAsia" w:ascii="楷体_GB2312" w:hAnsi="楷体_GB2312" w:eastAsia="楷体_GB2312" w:cs="楷体_GB2312"/>
          <w:b w:val="0"/>
          <w:bCs w:val="0"/>
          <w:sz w:val="32"/>
          <w:szCs w:val="32"/>
          <w:lang w:eastAsia="zh-CN"/>
        </w:rPr>
        <w:t>2018</w:t>
      </w:r>
      <w:r>
        <w:rPr>
          <w:rFonts w:hint="eastAsia" w:ascii="楷体_GB2312" w:hAnsi="楷体_GB2312" w:eastAsia="楷体_GB2312" w:cs="楷体_GB2312"/>
          <w:b w:val="0"/>
          <w:bCs w:val="0"/>
          <w:sz w:val="32"/>
          <w:szCs w:val="32"/>
        </w:rPr>
        <w:t>年，我</w:t>
      </w:r>
      <w:r>
        <w:rPr>
          <w:rFonts w:hint="eastAsia" w:ascii="楷体_GB2312" w:hAnsi="楷体_GB2312" w:eastAsia="楷体_GB2312" w:cs="楷体_GB2312"/>
          <w:b w:val="0"/>
          <w:bCs w:val="0"/>
          <w:sz w:val="32"/>
          <w:szCs w:val="32"/>
          <w:lang w:eastAsia="zh-CN"/>
        </w:rPr>
        <w:t>校</w:t>
      </w:r>
      <w:r>
        <w:rPr>
          <w:rFonts w:hint="eastAsia" w:ascii="楷体_GB2312" w:hAnsi="楷体_GB2312" w:eastAsia="楷体_GB2312" w:cs="楷体_GB2312"/>
          <w:b w:val="0"/>
          <w:bCs w:val="0"/>
          <w:sz w:val="32"/>
          <w:szCs w:val="32"/>
        </w:rPr>
        <w:t>财政拨款“三公”经费预算安排</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万元，其中：未安排因公出国经费，公务用车购置及运维费</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万元（公务用车购置费为0，公务用车运行费</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万元)，公务接待费</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万元。比2016年减少</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万元,减少主要原因是</w:t>
      </w:r>
      <w:r>
        <w:rPr>
          <w:rFonts w:hint="eastAsia" w:ascii="楷体_GB2312" w:hAnsi="楷体_GB2312" w:eastAsia="楷体_GB2312" w:cs="楷体_GB2312"/>
          <w:b w:val="0"/>
          <w:bCs w:val="0"/>
          <w:sz w:val="32"/>
          <w:szCs w:val="32"/>
          <w:lang w:val="en-US" w:eastAsia="zh-CN"/>
        </w:rPr>
        <w:t>2017年我校主动上交划拨公车一辆，</w:t>
      </w:r>
      <w:r>
        <w:rPr>
          <w:rFonts w:hint="eastAsia" w:ascii="楷体_GB2312" w:hAnsi="楷体_GB2312" w:eastAsia="楷体_GB2312" w:cs="楷体_GB2312"/>
          <w:b w:val="0"/>
          <w:bCs w:val="0"/>
          <w:sz w:val="32"/>
          <w:szCs w:val="32"/>
        </w:rPr>
        <w:t>公务用车运行经费</w:t>
      </w:r>
      <w:r>
        <w:rPr>
          <w:rFonts w:hint="eastAsia" w:ascii="楷体_GB2312" w:hAnsi="楷体_GB2312" w:eastAsia="楷体_GB2312" w:cs="楷体_GB2312"/>
          <w:b w:val="0"/>
          <w:bCs w:val="0"/>
          <w:sz w:val="32"/>
          <w:szCs w:val="32"/>
          <w:lang w:eastAsia="zh-CN"/>
        </w:rPr>
        <w:t>进一步降低</w:t>
      </w:r>
      <w:r>
        <w:rPr>
          <w:rFonts w:hint="eastAsia" w:ascii="楷体_GB2312" w:hAnsi="楷体_GB2312" w:eastAsia="楷体_GB2312" w:cs="楷体_GB2312"/>
          <w:b w:val="0"/>
          <w:bCs w:val="0"/>
          <w:sz w:val="32"/>
          <w:szCs w:val="32"/>
        </w:rPr>
        <w:t>。</w:t>
      </w:r>
      <w:bookmarkStart w:id="2" w:name="_GoBack"/>
      <w:bookmarkEnd w:id="2"/>
    </w:p>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五、绩效预算信息</w:t>
      </w:r>
      <w:r>
        <w:rPr>
          <w:rFonts w:hint="eastAsia" w:ascii="楷体_GB2312" w:hAnsi="楷体_GB2312" w:eastAsia="楷体_GB2312" w:cs="楷体_GB2312"/>
          <w:b/>
          <w:bCs/>
          <w:sz w:val="32"/>
          <w:szCs w:val="32"/>
          <w:lang w:eastAsia="zh-CN"/>
        </w:rPr>
        <w:t>情况</w:t>
      </w:r>
    </w:p>
    <w:p>
      <w:pPr>
        <w:pStyle w:val="2"/>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总体绩效目标：</w:t>
      </w:r>
    </w:p>
    <w:p>
      <w:pPr>
        <w:spacing w:line="500" w:lineRule="exact"/>
        <w:ind w:firstLine="56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2018年，市委党校将继续认真贯彻落实党的十九大全会精神，紧密围绕市委中心工作，按照“三严三实”要求，认真贯彻落实中共中央《关于加强和改进新形势下党校工作的意见》，扎实推进班子建设、作风建设、队伍建设和校园建设，不断深化各项改革，全面提高办学水平，努力开创党校事业科学发展新局面。为邢台市经济建设大发展，尽自己的一份力量。</w:t>
      </w:r>
    </w:p>
    <w:p>
      <w:pPr>
        <w:spacing w:line="500" w:lineRule="exac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一、不断改革创新，提高干部培训的针对性和实效性</w:t>
      </w:r>
    </w:p>
    <w:p>
      <w:pPr>
        <w:pStyle w:val="2"/>
        <w:ind w:firstLine="320" w:firstLineChars="1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kern w:val="2"/>
          <w:sz w:val="32"/>
          <w:szCs w:val="32"/>
          <w:lang w:val="en-US" w:eastAsia="zh-CN" w:bidi="ar-SA"/>
        </w:rPr>
        <w:t>1、紧紧围绕市委中心工作,不断创新教学内容。党校的主要工作是完成领导干部培训学习，领导干部通过在党校的学习培训，提高自身的素质，进一步提升领导能力。学员通过学习习近平总书记系列重要讲话，总书记对河北工作的重要指示，省、市委领导重要讲话，市委、市政府重大会议精神和重要工作部署等重点内容，并采用理论中心组学习和自主学习相结合的方法。</w:t>
      </w:r>
    </w:p>
    <w:p>
      <w:pPr>
        <w:pStyle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2、改进培训方式方法，提高培训质量和效果。</w:t>
      </w:r>
      <w:r>
        <w:rPr>
          <w:rFonts w:hint="eastAsia" w:ascii="楷体_GB2312" w:hAnsi="楷体_GB2312" w:eastAsia="楷体_GB2312" w:cs="楷体_GB2312"/>
          <w:b w:val="0"/>
          <w:bCs w:val="0"/>
          <w:kern w:val="2"/>
          <w:sz w:val="32"/>
          <w:szCs w:val="32"/>
          <w:lang w:val="en-US" w:eastAsia="zh-CN" w:bidi="ar-SA"/>
        </w:rPr>
        <w:t>通过不断更新干部培训方式方法，通过理论教育与实地考察相结合等方法，提高学习效率，使领导干部进一步提升领导能力并提高决策水平。</w:t>
      </w:r>
    </w:p>
    <w:p>
      <w:pPr>
        <w:pStyle w:val="2"/>
        <w:ind w:firstLine="64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3、勇挑大梁，努力发挥好“主渠道、主阵地”作用。</w:t>
      </w:r>
      <w:r>
        <w:rPr>
          <w:rFonts w:hint="eastAsia" w:ascii="楷体_GB2312" w:hAnsi="楷体_GB2312" w:eastAsia="楷体_GB2312" w:cs="楷体_GB2312"/>
          <w:b w:val="0"/>
          <w:bCs w:val="0"/>
          <w:sz w:val="32"/>
          <w:szCs w:val="32"/>
          <w:lang w:eastAsia="zh-CN"/>
        </w:rPr>
        <w:t>继续落实组织部主体班教学任务，组织教师特别是年轻教师，到农村和社区中去实地调研宣讲。充分发挥好</w:t>
      </w:r>
      <w:r>
        <w:rPr>
          <w:rFonts w:hint="eastAsia" w:ascii="楷体_GB2312" w:hAnsi="楷体_GB2312" w:eastAsia="楷体_GB2312" w:cs="楷体_GB2312"/>
          <w:b w:val="0"/>
          <w:bCs w:val="0"/>
          <w:sz w:val="32"/>
          <w:szCs w:val="32"/>
        </w:rPr>
        <w:t>“主渠道、主阵地”作用</w:t>
      </w:r>
      <w:r>
        <w:rPr>
          <w:rFonts w:hint="eastAsia" w:ascii="楷体_GB2312" w:hAnsi="楷体_GB2312" w:eastAsia="楷体_GB2312" w:cs="楷体_GB2312"/>
          <w:b w:val="0"/>
          <w:bCs w:val="0"/>
          <w:sz w:val="32"/>
          <w:szCs w:val="32"/>
          <w:lang w:eastAsia="zh-CN"/>
        </w:rPr>
        <w:t>。</w:t>
      </w:r>
    </w:p>
    <w:p>
      <w:pPr>
        <w:spacing w:line="500" w:lineRule="exac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二、大力加强市情研究，进一步提高科研咨政水平。</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组建邢台市情研究所。组建邢台市情研究所。为进一步加强对邢台市情的调查研究，拟组建市情研究所。由常务副校长任所长，分管科研工作领导任副所长，选调骨干教师10－15名，分成2－3个研究小组，集中人力、物力等各种资源，在市委、市直各单位、各县（市、区）的支持下，全面深入地开展邢台市情调查研究，每年至少拿出3-5篇高质量的调研报告和决策参考。</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进一步明确科研工作重点。加强科研工作的实用性。把加强市情研究，提供决策参考作为党校科研工作的重点，围绕市委、市政府中心工作，围绕我市经济社会发展的重点、热点问题，以应用对策性研究为主，深入开展社会调研，集中力量撰写高质量的调研报告，为市委、市政府科学决策提供参考。</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不断改进科研工作方法。创造条件支持鼓励科研人员多到经济社会发展一线去。一方面加强与其他市直单位及县（市、区）合作，争取各方面的支持与配合。积极与“两办”、研究室等综合研究部门，发改委、工信局等职能单位沟通联系，参与或共同承担全市性的调查研究工作。另一方面健全科研激励约束机制，起草《科研工作量标准和科研成果资助办法》，加大科研资金配套力度，提高优秀科研成果奖励标准，引导科研人员提升研究层次和研究水平。</w:t>
      </w:r>
    </w:p>
    <w:p>
      <w:pPr>
        <w:spacing w:line="500" w:lineRule="exac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三、进一步加强队伍建设，着力年轻干部和教师的培养</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注重基层锻炼。把了解掌握市情、民情，提高实践经验和宗旨意识做为培养年轻教职工的工作重点，结合正在开展的扶贫帮困“春雨行动”和党员志愿服务，组织年轻教职工经常到农村、社区中去，到经济社会发展一线去，到群众身边去。</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2、加强进修培训。今年选派10名以上教师参加高端培训班学习，组织教学骨干赴先进党校进修学习，选派年轻教师到上级党校培训学习。</w:t>
      </w:r>
      <w:r>
        <w:rPr>
          <w:rFonts w:hint="eastAsia" w:ascii="楷体_GB2312" w:hAnsi="楷体_GB2312" w:eastAsia="楷体_GB2312" w:cs="楷体_GB2312"/>
          <w:b w:val="0"/>
          <w:bCs w:val="0"/>
          <w:sz w:val="32"/>
          <w:szCs w:val="32"/>
          <w:lang w:eastAsia="zh-CN"/>
        </w:rPr>
        <w:t>并计划组织全校教职工</w:t>
      </w:r>
      <w:r>
        <w:rPr>
          <w:rFonts w:hint="eastAsia" w:ascii="楷体_GB2312" w:hAnsi="楷体_GB2312" w:eastAsia="楷体_GB2312" w:cs="楷体_GB2312"/>
          <w:b w:val="0"/>
          <w:bCs w:val="0"/>
          <w:sz w:val="32"/>
          <w:szCs w:val="32"/>
          <w:lang w:val="en-US" w:eastAsia="zh-CN"/>
        </w:rPr>
        <w:t>进行全员培训。</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抓好“传帮带”。在教学专题准备、科研课题研究、开展社会调研等工作中，引导优秀老教师对年轻教师加强指导和帮助，特别是强化教研室主任的责任，确保年轻教师能够迅速成长起来，充实党校教学和科研队伍。</w:t>
      </w:r>
    </w:p>
    <w:p>
      <w:pPr>
        <w:spacing w:line="500" w:lineRule="exac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四、完善后勤管理，建设一流育人环境</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1、加大投资力度。建设高标准电脑教室，改造升级多媒体教学装备，提高教学现代化水平。</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2、加强精细管理。以精细化、制度化管理为目标，加大检查、督导力度，加强对行政后勤人员及临时工作人员的管理与岗位技能培训，全面提高服务质量，提升行政后勤保障能力。</w:t>
      </w:r>
    </w:p>
    <w:p>
      <w:pPr>
        <w:pStyle w:val="2"/>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3、美化校园环境。做好校园建设、美化、绿化、维护工作，创建园林式、花园式学校，保持省级园林单位称号，争创国家园林单位称号。</w:t>
      </w:r>
    </w:p>
    <w:p>
      <w:pPr>
        <w:jc w:val="center"/>
        <w:outlineLvl w:val="0"/>
        <w:rPr>
          <w:rFonts w:hint="eastAsia" w:ascii="楷体_GB2312" w:hAnsi="楷体_GB2312" w:eastAsia="楷体_GB2312" w:cs="楷体_GB2312"/>
          <w:b w:val="0"/>
          <w:bCs w:val="0"/>
          <w:sz w:val="32"/>
          <w:szCs w:val="32"/>
        </w:rPr>
      </w:pPr>
      <w:bookmarkStart w:id="0" w:name="_Toc508016590"/>
    </w:p>
    <w:p>
      <w:pPr>
        <w:jc w:val="both"/>
        <w:outlineLvl w:val="0"/>
        <w:rPr>
          <w:rFonts w:hint="eastAsia" w:ascii="楷体_GB2312" w:hAnsi="楷体_GB2312" w:eastAsia="楷体_GB2312" w:cs="楷体_GB2312"/>
          <w:sz w:val="32"/>
          <w:szCs w:val="32"/>
        </w:rPr>
      </w:pPr>
    </w:p>
    <w:p>
      <w:pPr>
        <w:jc w:val="center"/>
        <w:outlineLvl w:val="0"/>
        <w:rPr>
          <w:rFonts w:hint="eastAsia" w:ascii="仿宋_GB2312" w:hAnsi="仿宋_GB2312" w:eastAsia="仿宋_GB2312" w:cs="仿宋_GB2312"/>
          <w:b/>
          <w:bCs/>
          <w:sz w:val="32"/>
        </w:rPr>
      </w:pPr>
      <w:r>
        <w:rPr>
          <w:rFonts w:hint="eastAsia" w:ascii="仿宋_GB2312" w:hAnsi="仿宋_GB2312" w:eastAsia="仿宋_GB2312" w:cs="仿宋_GB2312"/>
          <w:b/>
          <w:bCs/>
          <w:sz w:val="32"/>
        </w:rPr>
        <w:t>部门职责-工作活动绩效目标</w:t>
      </w:r>
      <w:bookmarkEnd w:id="0"/>
    </w:p>
    <w:tbl>
      <w:tblPr>
        <w:tblStyle w:val="4"/>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109中国共产党邢台市委员会党校</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职责活动</w:t>
            </w:r>
          </w:p>
        </w:tc>
        <w:tc>
          <w:tcPr>
            <w:tcW w:w="1276"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年度预算数</w:t>
            </w:r>
          </w:p>
        </w:tc>
        <w:tc>
          <w:tcPr>
            <w:tcW w:w="2976"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内容描述</w:t>
            </w:r>
          </w:p>
        </w:tc>
        <w:tc>
          <w:tcPr>
            <w:tcW w:w="2976"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417"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w:t>
            </w:r>
          </w:p>
        </w:tc>
        <w:tc>
          <w:tcPr>
            <w:tcW w:w="2948" w:type="dxa"/>
            <w:gridSpan w:val="4"/>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hint="eastAsia" w:ascii="仿宋_GB2312" w:hAnsi="仿宋_GB2312" w:eastAsia="仿宋_GB2312" w:cs="仿宋_GB2312"/>
              </w:rPr>
            </w:pPr>
          </w:p>
        </w:tc>
        <w:tc>
          <w:tcPr>
            <w:tcW w:w="1276" w:type="dxa"/>
            <w:vMerge w:val="continue"/>
            <w:shd w:val="clear" w:color="auto" w:fill="auto"/>
            <w:vAlign w:val="center"/>
          </w:tcPr>
          <w:p>
            <w:pPr>
              <w:spacing w:line="300" w:lineRule="exact"/>
              <w:jc w:val="left"/>
              <w:outlineLvl w:val="0"/>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outlineLvl w:val="0"/>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outlineLvl w:val="0"/>
              <w:rPr>
                <w:rFonts w:hint="eastAsia" w:ascii="仿宋_GB2312" w:hAnsi="仿宋_GB2312" w:eastAsia="仿宋_GB2312" w:cs="仿宋_GB2312"/>
              </w:rPr>
            </w:pPr>
          </w:p>
        </w:tc>
        <w:tc>
          <w:tcPr>
            <w:tcW w:w="1417" w:type="dxa"/>
            <w:vMerge w:val="continue"/>
            <w:shd w:val="clear" w:color="auto" w:fill="auto"/>
            <w:vAlign w:val="center"/>
          </w:tcPr>
          <w:p>
            <w:pPr>
              <w:spacing w:line="300" w:lineRule="exact"/>
              <w:jc w:val="left"/>
              <w:outlineLvl w:val="0"/>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优</w:t>
            </w:r>
          </w:p>
        </w:tc>
        <w:tc>
          <w:tcPr>
            <w:tcW w:w="73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良</w:t>
            </w:r>
          </w:p>
        </w:tc>
        <w:tc>
          <w:tcPr>
            <w:tcW w:w="73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中</w:t>
            </w:r>
          </w:p>
        </w:tc>
        <w:tc>
          <w:tcPr>
            <w:tcW w:w="73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一、培训教育</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120.00</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根据党中央、省委、市委关于建设高素质干部队伍的要求，有计划地培训、轮训高中级党员领导干部和宣传骨干；结合本市发展实际，以研讨中央重大理论和方针、政策问题为目的，举办各种专题研讨班;利用教学资源进行干部短期培训</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pPr>
              <w:spacing w:line="300" w:lineRule="exact"/>
              <w:jc w:val="left"/>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1、组织培训班</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100.00</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根据市委组织部的干训计划，培训、轮训领导干部和理论骨干；受市委、市政府及有关职能部门委托，结合本市发展实际，举办各种专题培训、研讨班。</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通过外请专家学者授课，开拓学员思路；通过现场教学、情景教学、案例教学、西柏坡特色教学，有效提高培训质量，提高学员解决实际问题的能力。</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委托单位满意率达到80%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学员教学满意率达到85%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培训、轮训工作完成率达到100%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特色教学达到30%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2、开办研究生学历班</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办好省委党校脱产研究生学历教育和在职研究生学历教育</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通过办好不同形式的研究生学历教育，满足不同层次干部对学历方面的需求。</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在读学员满意率达到90%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学员单位满意率达到80%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学员毕业率达到100%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3、师资与学科建设</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加强师资培训、交流、培养，引进高水平人才，加强学科建设和学科培育，形成有党校特色的优势学科、重点学科和教学基地。</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通过重点培育和建设，形成几门有党校特色的优势学科和重点学科。</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党校特色教材教案比率达到50%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培训满意度达到90%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特色优势学科门数达到3-4门</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≥3门</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2门</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1门</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0门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教师培训进修比率达到70%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4、教学事物管理</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20.00</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组织实施与教学活动和学员培训相关的综合管理和后勤保障事物</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通过严格的行政后勤管理，为学员培训和教学科研活动创造良好的硬件环境和后勤保障</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受训学员后勤管理综合满意率达到90%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后勤大型设备完好率达到100%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后勤保障事务完成率达到100%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二、理论研究和决策咨询</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40.00</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开展对马克思主义中国化最新成果、本市重大现实问题及战略问题的研究，为推进党的理论创新服务，为市委、市政府及有关部门决策咨询服务</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tc>
        <w:tc>
          <w:tcPr>
            <w:tcW w:w="1417" w:type="dxa"/>
            <w:shd w:val="clear" w:color="auto" w:fill="auto"/>
            <w:vAlign w:val="center"/>
          </w:tcPr>
          <w:p>
            <w:pPr>
              <w:spacing w:line="300" w:lineRule="exact"/>
              <w:jc w:val="left"/>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1、理论研究</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20.00</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对优秀科研成果和成绩突出的优秀科研人才进行定项资助。宣传党和国家的路线方针政策，刊发决策咨询、教学培训、理论研究成果，推进理论和实践创新。</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以科研刊物为平台，推动教研人员的科研交流和理论探索，产出高质量的理论成果。</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科研课题评估优秀率达到25%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科研课题立项数达到20项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科研刊物辑印期数达到4期</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≥12期</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≥4期</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≥2期</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2、决策咨询和政策宣讲</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20.00</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承担市领导交办的调研任务，围绕市委市政府中心工作，开展决策咨询研究；组织有关领导、教师到各地市及相关部门进行政策宣讲。</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通过决策咨询研究，设立一批有质量的决策咨询服务项目，拿出一批优秀的决策咨询成果，为领导决策咨询服务，发挥思想库和主智囊团的作用。</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决策咨询研究工作完成率达到95%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宣讲满意度达到90%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对外宣讲次数大于10次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市领导参阅的《决策参考》编印报送数量达到10项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≥5项</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送教下县次数大于10次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≥5次</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三、行政后勤</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190.00</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组织实施与教学活动、学员培训、科研等相关的综合管理和后勤保障事务。</w:t>
            </w:r>
          </w:p>
        </w:tc>
        <w:tc>
          <w:tcPr>
            <w:tcW w:w="29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通过有效的行政后勤管理，完善教学设施和服务网络，提高保障水平，促进教学科研活动和学员培训水平的提高。</w:t>
            </w:r>
          </w:p>
        </w:tc>
        <w:tc>
          <w:tcPr>
            <w:tcW w:w="1417" w:type="dxa"/>
            <w:shd w:val="clear" w:color="auto" w:fill="auto"/>
            <w:vAlign w:val="center"/>
          </w:tcPr>
          <w:p>
            <w:pPr>
              <w:spacing w:line="300" w:lineRule="exact"/>
              <w:jc w:val="left"/>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c>
          <w:tcPr>
            <w:tcW w:w="737" w:type="dxa"/>
            <w:shd w:val="clear" w:color="auto" w:fill="auto"/>
            <w:vAlign w:val="center"/>
          </w:tcPr>
          <w:p>
            <w:pPr>
              <w:spacing w:line="300"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　　1、行政后勤管理</w:t>
            </w:r>
          </w:p>
        </w:tc>
        <w:tc>
          <w:tcPr>
            <w:tcW w:w="12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190.00</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组织实施与教学活动、学员培训、科研等相关的综合管理和后勤保障事务。</w:t>
            </w:r>
          </w:p>
        </w:tc>
        <w:tc>
          <w:tcPr>
            <w:tcW w:w="2976"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通过有效的行政后勤管理，完善教学设施和服务网络，提高保障水平，促进教学科研活动和学员培训水平的提高</w:t>
            </w: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教学设施的完善水平达到95%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全校信息化程度达到100%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_GB2312" w:hAnsi="仿宋_GB2312" w:eastAsia="仿宋_GB2312" w:cs="仿宋_GB2312"/>
                <w:b/>
              </w:rPr>
            </w:pPr>
          </w:p>
        </w:tc>
        <w:tc>
          <w:tcPr>
            <w:tcW w:w="12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976"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141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教学部门的满意度达到100%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37"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r>
    </w:tbl>
    <w:p>
      <w:pPr>
        <w:autoSpaceDE w:val="0"/>
        <w:autoSpaceDN w:val="0"/>
        <w:rPr>
          <w:rFonts w:hint="eastAsia" w:ascii="黑体" w:hAnsi="黑体" w:eastAsia="黑体"/>
          <w:color w:val="000000"/>
          <w:sz w:val="32"/>
        </w:rPr>
      </w:pPr>
    </w:p>
    <w:p>
      <w:pPr>
        <w:autoSpaceDE w:val="0"/>
        <w:autoSpaceDN w:val="0"/>
        <w:rPr>
          <w:rFonts w:hint="eastAsia" w:ascii="黑体" w:hAnsi="黑体" w:eastAsia="黑体"/>
          <w:color w:val="000000"/>
          <w:sz w:val="32"/>
        </w:rPr>
      </w:pPr>
    </w:p>
    <w:p>
      <w:pPr>
        <w:autoSpaceDE w:val="0"/>
        <w:autoSpaceDN w:val="0"/>
        <w:rPr>
          <w:rFonts w:hint="eastAsia" w:ascii="黑体" w:hAnsi="黑体" w:eastAsia="黑体"/>
          <w:color w:val="000000"/>
          <w:sz w:val="32"/>
        </w:rPr>
      </w:pPr>
    </w:p>
    <w:p>
      <w:pPr>
        <w:autoSpaceDE w:val="0"/>
        <w:autoSpaceDN w:val="0"/>
        <w:rPr>
          <w:rFonts w:hint="eastAsia" w:ascii="楷体_GB2312" w:hAnsi="楷体_GB2312" w:eastAsia="楷体_GB2312" w:cs="楷体_GB2312"/>
          <w:b/>
          <w:bCs/>
          <w:color w:val="000000"/>
          <w:sz w:val="32"/>
        </w:rPr>
      </w:pPr>
      <w:r>
        <w:rPr>
          <w:rFonts w:hint="eastAsia" w:ascii="楷体_GB2312" w:hAnsi="楷体_GB2312" w:eastAsia="楷体_GB2312" w:cs="楷体_GB2312"/>
          <w:b/>
          <w:bCs/>
          <w:color w:val="000000"/>
          <w:sz w:val="32"/>
        </w:rPr>
        <w:t>六、政府采购预算情况</w:t>
      </w:r>
    </w:p>
    <w:p>
      <w:pPr>
        <w:spacing w:line="300" w:lineRule="exact"/>
        <w:ind w:firstLine="640"/>
        <w:jc w:val="left"/>
        <w:outlineLvl w:val="0"/>
        <w:rPr>
          <w:rFonts w:hint="eastAsia" w:ascii="楷体_GB2312" w:hAnsi="楷体_GB2312" w:eastAsia="楷体_GB2312" w:cs="楷体_GB2312"/>
          <w:b w:val="0"/>
          <w:bCs w:val="0"/>
          <w:color w:val="000000"/>
          <w:sz w:val="32"/>
        </w:rPr>
      </w:pPr>
      <w:r>
        <w:rPr>
          <w:rFonts w:hint="eastAsia" w:ascii="楷体_GB2312" w:hAnsi="楷体_GB2312" w:eastAsia="楷体_GB2312" w:cs="楷体_GB2312"/>
          <w:b w:val="0"/>
          <w:bCs w:val="0"/>
          <w:color w:val="000000"/>
          <w:sz w:val="32"/>
          <w:lang w:eastAsia="zh-CN"/>
        </w:rPr>
        <w:t>2018</w:t>
      </w:r>
      <w:r>
        <w:rPr>
          <w:rFonts w:hint="eastAsia" w:ascii="楷体_GB2312" w:hAnsi="楷体_GB2312" w:eastAsia="楷体_GB2312" w:cs="楷体_GB2312"/>
          <w:b w:val="0"/>
          <w:bCs w:val="0"/>
          <w:color w:val="000000"/>
          <w:sz w:val="32"/>
        </w:rPr>
        <w:t>年，我</w:t>
      </w:r>
      <w:r>
        <w:rPr>
          <w:rFonts w:hint="eastAsia" w:ascii="楷体_GB2312" w:hAnsi="楷体_GB2312" w:eastAsia="楷体_GB2312" w:cs="楷体_GB2312"/>
          <w:b w:val="0"/>
          <w:bCs w:val="0"/>
          <w:color w:val="000000"/>
          <w:sz w:val="32"/>
          <w:lang w:eastAsia="zh-CN"/>
        </w:rPr>
        <w:t>校预算共计</w:t>
      </w:r>
      <w:r>
        <w:rPr>
          <w:rFonts w:hint="eastAsia" w:ascii="楷体_GB2312" w:hAnsi="楷体_GB2312" w:eastAsia="楷体_GB2312" w:cs="楷体_GB2312"/>
          <w:b w:val="0"/>
          <w:bCs w:val="0"/>
          <w:color w:val="000000"/>
          <w:sz w:val="32"/>
        </w:rPr>
        <w:t>安排政府采购</w:t>
      </w:r>
      <w:r>
        <w:rPr>
          <w:rFonts w:hint="eastAsia" w:ascii="楷体_GB2312" w:hAnsi="楷体_GB2312" w:eastAsia="楷体_GB2312" w:cs="楷体_GB2312"/>
          <w:b w:val="0"/>
          <w:bCs w:val="0"/>
          <w:color w:val="000000"/>
          <w:sz w:val="32"/>
          <w:lang w:eastAsia="zh-CN"/>
        </w:rPr>
        <w:t>项目一类一个，涉及金额</w:t>
      </w:r>
      <w:r>
        <w:rPr>
          <w:rFonts w:hint="eastAsia" w:ascii="楷体_GB2312" w:hAnsi="楷体_GB2312" w:eastAsia="楷体_GB2312" w:cs="楷体_GB2312"/>
          <w:b w:val="0"/>
          <w:bCs w:val="0"/>
          <w:color w:val="000000"/>
          <w:sz w:val="32"/>
          <w:lang w:val="en-US" w:eastAsia="zh-CN"/>
        </w:rPr>
        <w:t>50万元</w:t>
      </w:r>
      <w:r>
        <w:rPr>
          <w:rFonts w:hint="eastAsia" w:ascii="楷体_GB2312" w:hAnsi="楷体_GB2312" w:eastAsia="楷体_GB2312" w:cs="楷体_GB2312"/>
          <w:b w:val="0"/>
          <w:bCs w:val="0"/>
          <w:color w:val="000000"/>
          <w:sz w:val="32"/>
        </w:rPr>
        <w:t>。</w:t>
      </w:r>
      <w:r>
        <w:rPr>
          <w:rFonts w:hint="eastAsia" w:ascii="楷体_GB2312" w:hAnsi="楷体_GB2312" w:eastAsia="楷体_GB2312" w:cs="楷体_GB2312"/>
          <w:b w:val="0"/>
          <w:bCs w:val="0"/>
          <w:color w:val="000000"/>
          <w:sz w:val="32"/>
          <w:lang w:eastAsia="zh-CN"/>
        </w:rPr>
        <w:t>其中工程类一个，涉及金额</w:t>
      </w:r>
      <w:r>
        <w:rPr>
          <w:rFonts w:hint="eastAsia" w:ascii="楷体_GB2312" w:hAnsi="楷体_GB2312" w:eastAsia="楷体_GB2312" w:cs="楷体_GB2312"/>
          <w:b w:val="0"/>
          <w:bCs w:val="0"/>
          <w:color w:val="000000"/>
          <w:sz w:val="32"/>
          <w:lang w:val="en-US" w:eastAsia="zh-CN"/>
        </w:rPr>
        <w:t>50万元，主要用于学员楼装修工程。</w:t>
      </w:r>
    </w:p>
    <w:p>
      <w:pPr>
        <w:jc w:val="center"/>
        <w:outlineLvl w:val="0"/>
        <w:rPr>
          <w:rFonts w:hint="eastAsia" w:ascii="方正小标宋_GBK" w:eastAsia="方正小标宋_GBK"/>
          <w:sz w:val="32"/>
        </w:rPr>
      </w:pPr>
      <w:bookmarkStart w:id="1" w:name="_Toc508016596"/>
    </w:p>
    <w:p>
      <w:pPr>
        <w:jc w:val="center"/>
        <w:outlineLvl w:val="0"/>
        <w:rPr>
          <w:rFonts w:hint="eastAsia" w:ascii="仿宋_GB2312" w:hAnsi="仿宋_GB2312" w:eastAsia="仿宋_GB2312" w:cs="仿宋_GB2312"/>
          <w:sz w:val="32"/>
        </w:rPr>
      </w:pPr>
      <w:r>
        <w:rPr>
          <w:rFonts w:hint="eastAsia" w:ascii="仿宋_GB2312" w:hAnsi="仿宋_GB2312" w:eastAsia="仿宋_GB2312" w:cs="仿宋_GB2312"/>
          <w:sz w:val="32"/>
        </w:rPr>
        <w:t>部门政府采购预算</w:t>
      </w:r>
      <w:bookmarkEnd w:id="1"/>
      <w:r>
        <w:rPr>
          <w:rFonts w:hint="eastAsia" w:ascii="仿宋_GB2312" w:hAnsi="仿宋_GB2312" w:eastAsia="仿宋_GB2312" w:cs="仿宋_GB2312"/>
          <w:sz w:val="32"/>
          <w:lang w:eastAsia="zh-CN"/>
        </w:rPr>
        <w:t>表</w:t>
      </w:r>
    </w:p>
    <w:tbl>
      <w:tblPr>
        <w:tblStyle w:val="4"/>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109中国共产党邢台市委员会党校</w:t>
            </w:r>
          </w:p>
        </w:tc>
        <w:tc>
          <w:tcPr>
            <w:tcW w:w="66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政府采购项目来源</w:t>
            </w:r>
          </w:p>
        </w:tc>
        <w:tc>
          <w:tcPr>
            <w:tcW w:w="974"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采购物品名称</w:t>
            </w:r>
          </w:p>
        </w:tc>
        <w:tc>
          <w:tcPr>
            <w:tcW w:w="986"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政府采购目录序号</w:t>
            </w:r>
          </w:p>
        </w:tc>
        <w:tc>
          <w:tcPr>
            <w:tcW w:w="760"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数量  单位</w:t>
            </w:r>
          </w:p>
        </w:tc>
        <w:tc>
          <w:tcPr>
            <w:tcW w:w="760"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数量</w:t>
            </w:r>
          </w:p>
        </w:tc>
        <w:tc>
          <w:tcPr>
            <w:tcW w:w="848"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单价</w:t>
            </w:r>
          </w:p>
        </w:tc>
        <w:tc>
          <w:tcPr>
            <w:tcW w:w="6693" w:type="dxa"/>
            <w:gridSpan w:val="7"/>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项目名称</w:t>
            </w:r>
          </w:p>
        </w:tc>
        <w:tc>
          <w:tcPr>
            <w:tcW w:w="1099"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预算资金</w:t>
            </w:r>
          </w:p>
        </w:tc>
        <w:tc>
          <w:tcPr>
            <w:tcW w:w="974"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86"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760"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760"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848"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61"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总计</w:t>
            </w:r>
          </w:p>
        </w:tc>
        <w:tc>
          <w:tcPr>
            <w:tcW w:w="4811" w:type="dxa"/>
            <w:gridSpan w:val="5"/>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当年部门预算安排资金</w:t>
            </w:r>
          </w:p>
        </w:tc>
        <w:tc>
          <w:tcPr>
            <w:tcW w:w="921" w:type="dxa"/>
            <w:vMerge w:val="restart"/>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448"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1099"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74"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86"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760"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760"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848"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61"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c>
          <w:tcPr>
            <w:tcW w:w="961"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合计</w:t>
            </w:r>
          </w:p>
        </w:tc>
        <w:tc>
          <w:tcPr>
            <w:tcW w:w="961"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一般公共预算拨款</w:t>
            </w:r>
          </w:p>
        </w:tc>
        <w:tc>
          <w:tcPr>
            <w:tcW w:w="961"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基金预算拨款</w:t>
            </w:r>
          </w:p>
        </w:tc>
        <w:tc>
          <w:tcPr>
            <w:tcW w:w="964"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财政专户核拨</w:t>
            </w:r>
          </w:p>
        </w:tc>
        <w:tc>
          <w:tcPr>
            <w:tcW w:w="964"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其他来源收入</w:t>
            </w:r>
          </w:p>
        </w:tc>
        <w:tc>
          <w:tcPr>
            <w:tcW w:w="921" w:type="dxa"/>
            <w:vMerge w:val="continue"/>
            <w:shd w:val="clear" w:color="auto" w:fill="auto"/>
            <w:vAlign w:val="center"/>
          </w:tcPr>
          <w:p>
            <w:pPr>
              <w:spacing w:line="300" w:lineRule="exact"/>
              <w:jc w:val="left"/>
              <w:outlineLvl w:val="0"/>
              <w:rPr>
                <w:rFonts w:hint="eastAsia" w:ascii="仿宋_GB2312" w:hAnsi="仿宋_GB2312" w:eastAsia="仿宋_GB2312" w:cs="仿宋_GB2312"/>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合　计</w:t>
            </w:r>
          </w:p>
        </w:tc>
        <w:tc>
          <w:tcPr>
            <w:tcW w:w="1099"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74"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986"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760"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760"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848"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2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中国共产党邢台市委员会党校小计</w:t>
            </w:r>
          </w:p>
        </w:tc>
        <w:tc>
          <w:tcPr>
            <w:tcW w:w="1099"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74"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986"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760"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760"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848"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2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运转经费</w:t>
            </w:r>
          </w:p>
        </w:tc>
        <w:tc>
          <w:tcPr>
            <w:tcW w:w="1099"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135.00</w:t>
            </w:r>
          </w:p>
        </w:tc>
        <w:tc>
          <w:tcPr>
            <w:tcW w:w="974"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装修工程</w:t>
            </w:r>
          </w:p>
        </w:tc>
        <w:tc>
          <w:tcPr>
            <w:tcW w:w="986"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B07</w:t>
            </w:r>
          </w:p>
        </w:tc>
        <w:tc>
          <w:tcPr>
            <w:tcW w:w="760" w:type="dxa"/>
            <w:shd w:val="clear" w:color="auto" w:fill="auto"/>
            <w:vAlign w:val="center"/>
          </w:tcPr>
          <w:p>
            <w:pPr>
              <w:spacing w:line="300" w:lineRule="exact"/>
              <w:jc w:val="left"/>
              <w:rPr>
                <w:rFonts w:hint="eastAsia" w:ascii="仿宋_GB2312" w:hAnsi="仿宋_GB2312" w:eastAsia="仿宋_GB2312" w:cs="仿宋_GB2312"/>
                <w:b w:val="0"/>
                <w:bCs w:val="0"/>
                <w:sz w:val="24"/>
                <w:szCs w:val="24"/>
              </w:rPr>
            </w:pPr>
          </w:p>
        </w:tc>
        <w:tc>
          <w:tcPr>
            <w:tcW w:w="760"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1.00</w:t>
            </w:r>
          </w:p>
        </w:tc>
        <w:tc>
          <w:tcPr>
            <w:tcW w:w="848"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50.00</w:t>
            </w:r>
          </w:p>
        </w:tc>
        <w:tc>
          <w:tcPr>
            <w:tcW w:w="96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64"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c>
          <w:tcPr>
            <w:tcW w:w="921" w:type="dxa"/>
            <w:shd w:val="clear" w:color="auto" w:fill="auto"/>
            <w:vAlign w:val="center"/>
          </w:tcPr>
          <w:p>
            <w:pPr>
              <w:spacing w:line="300" w:lineRule="exact"/>
              <w:jc w:val="right"/>
              <w:rPr>
                <w:rFonts w:hint="eastAsia" w:ascii="仿宋_GB2312" w:hAnsi="仿宋_GB2312" w:eastAsia="仿宋_GB2312" w:cs="仿宋_GB2312"/>
                <w:b w:val="0"/>
                <w:bCs w:val="0"/>
                <w:sz w:val="24"/>
                <w:szCs w:val="24"/>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spacing w:line="300" w:lineRule="exact"/>
        <w:ind w:firstLine="640"/>
        <w:jc w:val="left"/>
        <w:outlineLvl w:val="0"/>
        <w:rPr>
          <w:rFonts w:hint="eastAsia" w:ascii="仿宋_GB2312" w:hAnsi="仿宋_GB2312" w:eastAsia="仿宋_GB2312"/>
          <w:color w:val="000000"/>
          <w:sz w:val="32"/>
        </w:rPr>
      </w:pPr>
    </w:p>
    <w:p>
      <w:pPr>
        <w:spacing w:line="300" w:lineRule="exact"/>
        <w:jc w:val="left"/>
        <w:outlineLvl w:val="0"/>
        <w:rPr>
          <w:rFonts w:hint="eastAsia" w:ascii="仿宋_GB2312" w:hAnsi="仿宋_GB2312" w:eastAsia="仿宋_GB2312"/>
          <w:color w:val="000000"/>
          <w:sz w:val="32"/>
        </w:rPr>
      </w:pPr>
    </w:p>
    <w:p>
      <w:pPr>
        <w:autoSpaceDE w:val="0"/>
        <w:autoSpaceDN w:val="0"/>
        <w:rPr>
          <w:rFonts w:hint="eastAsia" w:ascii="楷体_GB2312" w:hAnsi="楷体_GB2312" w:eastAsia="楷体_GB2312" w:cs="楷体_GB2312"/>
          <w:b/>
          <w:bCs w:val="0"/>
          <w:color w:val="000000"/>
          <w:sz w:val="32"/>
        </w:rPr>
      </w:pPr>
      <w:r>
        <w:rPr>
          <w:rFonts w:hint="eastAsia" w:ascii="楷体_GB2312" w:hAnsi="楷体_GB2312" w:eastAsia="楷体_GB2312" w:cs="楷体_GB2312"/>
          <w:b/>
          <w:bCs w:val="0"/>
          <w:color w:val="000000"/>
          <w:sz w:val="32"/>
        </w:rPr>
        <w:t>七、国有资产信息</w:t>
      </w:r>
    </w:p>
    <w:p>
      <w:pPr>
        <w:rPr>
          <w:rFonts w:hint="eastAsia" w:ascii="楷体_GB2312" w:hAnsi="楷体_GB2312" w:eastAsia="楷体_GB2312" w:cs="楷体_GB2312"/>
          <w:b/>
          <w:bCs/>
          <w:color w:val="000000"/>
          <w:sz w:val="32"/>
        </w:rPr>
      </w:pPr>
      <w:r>
        <w:rPr>
          <w:rFonts w:hint="eastAsia" w:ascii="楷体_GB2312" w:hAnsi="楷体_GB2312" w:eastAsia="楷体_GB2312" w:cs="楷体_GB2312"/>
          <w:b/>
          <w:bCs/>
          <w:color w:val="000000"/>
          <w:sz w:val="32"/>
          <w:lang w:val="en-US" w:eastAsia="zh-CN"/>
        </w:rPr>
        <w:t>市委党校</w:t>
      </w:r>
      <w:r>
        <w:rPr>
          <w:rFonts w:hint="eastAsia" w:ascii="楷体_GB2312" w:hAnsi="楷体_GB2312" w:eastAsia="楷体_GB2312" w:cs="楷体_GB2312"/>
          <w:b/>
          <w:bCs/>
          <w:color w:val="000000"/>
          <w:sz w:val="32"/>
        </w:rPr>
        <w:t>上年末固定资产金额为</w:t>
      </w:r>
      <w:r>
        <w:rPr>
          <w:rFonts w:hint="eastAsia" w:ascii="楷体_GB2312" w:hAnsi="楷体_GB2312" w:eastAsia="楷体_GB2312" w:cs="楷体_GB2312"/>
          <w:b/>
          <w:bCs/>
          <w:color w:val="000000"/>
          <w:sz w:val="32"/>
          <w:lang w:val="en-US" w:eastAsia="zh-CN"/>
        </w:rPr>
        <w:t>6332.67</w:t>
      </w:r>
      <w:r>
        <w:rPr>
          <w:rFonts w:hint="eastAsia" w:ascii="楷体_GB2312" w:hAnsi="楷体_GB2312" w:eastAsia="楷体_GB2312" w:cs="楷体_GB2312"/>
          <w:b/>
          <w:bCs/>
          <w:color w:val="000000"/>
          <w:sz w:val="32"/>
        </w:rPr>
        <w:t>万元</w:t>
      </w:r>
      <w:r>
        <w:rPr>
          <w:rFonts w:hint="eastAsia" w:ascii="楷体_GB2312" w:hAnsi="楷体_GB2312" w:eastAsia="楷体_GB2312" w:cs="楷体_GB2312"/>
          <w:b/>
          <w:bCs/>
          <w:color w:val="000000"/>
          <w:sz w:val="32"/>
          <w:lang w:eastAsia="zh-CN"/>
        </w:rPr>
        <w:t>。</w:t>
      </w:r>
    </w:p>
    <w:tbl>
      <w:tblPr>
        <w:tblStyle w:val="4"/>
        <w:tblW w:w="13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2256"/>
        <w:gridCol w:w="2257"/>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13540" w:type="dxa"/>
            <w:gridSpan w:val="4"/>
            <w:vAlign w:val="top"/>
          </w:tcPr>
          <w:p>
            <w:pPr>
              <w:autoSpaceDE w:val="0"/>
              <w:autoSpaceDN w:val="0"/>
              <w:ind w:left="0" w:leftChars="0" w:right="0" w:rightChars="0" w:firstLine="0" w:firstLineChars="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中共邢台市委党校</w:t>
            </w:r>
            <w:r>
              <w:rPr>
                <w:rFonts w:hint="eastAsia" w:ascii="仿宋_GB2312" w:hAnsi="仿宋_GB2312" w:eastAsia="仿宋_GB2312" w:cs="仿宋_GB2312"/>
                <w:color w:val="000000"/>
                <w:sz w:val="24"/>
              </w:rPr>
              <w:t>固定资产占用情况表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6769"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编制部门：</w:t>
            </w:r>
            <w:r>
              <w:rPr>
                <w:rFonts w:hint="eastAsia" w:ascii="仿宋_GB2312" w:hAnsi="仿宋_GB2312" w:eastAsia="仿宋_GB2312" w:cs="仿宋_GB2312"/>
                <w:color w:val="000000"/>
                <w:sz w:val="24"/>
                <w:lang w:eastAsia="zh-CN"/>
              </w:rPr>
              <w:t>中共邢台市委党校</w:t>
            </w:r>
          </w:p>
        </w:tc>
        <w:tc>
          <w:tcPr>
            <w:tcW w:w="6771"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截止时间：201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 xml:space="preserve">年12月31日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项 目 </w:t>
            </w:r>
          </w:p>
        </w:tc>
        <w:tc>
          <w:tcPr>
            <w:tcW w:w="4513"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数量 </w:t>
            </w:r>
          </w:p>
        </w:tc>
        <w:tc>
          <w:tcPr>
            <w:tcW w:w="4514"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价值（金额单位：万元）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资产总额 </w:t>
            </w:r>
          </w:p>
        </w:tc>
        <w:tc>
          <w:tcPr>
            <w:tcW w:w="4513"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4514" w:type="dxa"/>
            <w:vAlign w:val="top"/>
          </w:tcPr>
          <w:p>
            <w:pPr>
              <w:autoSpaceDE w:val="0"/>
              <w:autoSpaceDN w:val="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1、房屋（平方米） </w:t>
            </w:r>
          </w:p>
        </w:tc>
        <w:tc>
          <w:tcPr>
            <w:tcW w:w="4513" w:type="dxa"/>
            <w:gridSpan w:val="2"/>
            <w:vAlign w:val="top"/>
          </w:tcPr>
          <w:p>
            <w:pPr>
              <w:autoSpaceDE w:val="0"/>
              <w:autoSpaceDN w:val="0"/>
              <w:rPr>
                <w:rFonts w:hint="eastAsia" w:ascii="仿宋_GB2312" w:hAnsi="仿宋_GB2312" w:eastAsia="仿宋_GB2312" w:cs="仿宋_GB2312"/>
                <w:color w:val="000000"/>
                <w:sz w:val="24"/>
              </w:rPr>
            </w:pPr>
          </w:p>
        </w:tc>
        <w:tc>
          <w:tcPr>
            <w:tcW w:w="4514" w:type="dxa"/>
            <w:vAlign w:val="top"/>
          </w:tcPr>
          <w:p>
            <w:pPr>
              <w:autoSpaceDE w:val="0"/>
              <w:autoSpaceDN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3833.16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其中：办公用房（平方米） </w:t>
            </w:r>
          </w:p>
        </w:tc>
        <w:tc>
          <w:tcPr>
            <w:tcW w:w="4513" w:type="dxa"/>
            <w:gridSpan w:val="2"/>
            <w:vAlign w:val="top"/>
          </w:tcPr>
          <w:p>
            <w:pPr>
              <w:autoSpaceDE w:val="0"/>
              <w:autoSpaceDN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24947</w:t>
            </w:r>
          </w:p>
        </w:tc>
        <w:tc>
          <w:tcPr>
            <w:tcW w:w="4514" w:type="dxa"/>
            <w:vAlign w:val="top"/>
          </w:tcPr>
          <w:p>
            <w:pPr>
              <w:autoSpaceDE w:val="0"/>
              <w:autoSpaceDN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3833.16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2、车辆（台、辆） </w:t>
            </w:r>
          </w:p>
        </w:tc>
        <w:tc>
          <w:tcPr>
            <w:tcW w:w="4513" w:type="dxa"/>
            <w:gridSpan w:val="2"/>
            <w:vAlign w:val="top"/>
          </w:tcPr>
          <w:p>
            <w:pPr>
              <w:autoSpaceDE w:val="0"/>
              <w:autoSpaceDN w:val="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4514" w:type="dxa"/>
            <w:vAlign w:val="top"/>
          </w:tcPr>
          <w:p>
            <w:pPr>
              <w:autoSpaceDE w:val="0"/>
              <w:autoSpaceDN w:val="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其他</w:t>
            </w:r>
            <w:r>
              <w:rPr>
                <w:rFonts w:hint="eastAsia" w:ascii="仿宋_GB2312" w:hAnsi="仿宋_GB2312" w:eastAsia="仿宋_GB2312" w:cs="仿宋_GB2312"/>
                <w:color w:val="000000"/>
                <w:sz w:val="24"/>
              </w:rPr>
              <w:t xml:space="preserve">设备 </w:t>
            </w:r>
          </w:p>
        </w:tc>
        <w:tc>
          <w:tcPr>
            <w:tcW w:w="4513"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4514" w:type="dxa"/>
            <w:vAlign w:val="top"/>
          </w:tcPr>
          <w:p>
            <w:pPr>
              <w:autoSpaceDE w:val="0"/>
              <w:autoSpaceDN w:val="0"/>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4、其他固定资产 </w:t>
            </w:r>
          </w:p>
        </w:tc>
        <w:tc>
          <w:tcPr>
            <w:tcW w:w="4513" w:type="dxa"/>
            <w:gridSpan w:val="2"/>
            <w:vAlign w:val="top"/>
          </w:tcPr>
          <w:p>
            <w:pPr>
              <w:autoSpaceDE w:val="0"/>
              <w:autoSpaceDN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4514" w:type="dxa"/>
            <w:vAlign w:val="top"/>
          </w:tcPr>
          <w:p>
            <w:pPr>
              <w:autoSpaceDE w:val="0"/>
              <w:autoSpaceDN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2479.71</w:t>
            </w:r>
          </w:p>
        </w:tc>
      </w:tr>
    </w:tbl>
    <w:p>
      <w:pPr>
        <w:autoSpaceDE w:val="0"/>
        <w:autoSpaceDN w:val="0"/>
        <w:rPr>
          <w:rFonts w:hint="eastAsia" w:ascii="黑体" w:hAnsi="黑体" w:eastAsia="黑体"/>
          <w:bCs/>
          <w:color w:val="000000"/>
          <w:sz w:val="32"/>
        </w:rPr>
      </w:pPr>
      <w:r>
        <w:rPr>
          <w:rFonts w:hint="eastAsia" w:ascii="黑体" w:hAnsi="黑体" w:eastAsia="黑体"/>
          <w:bCs/>
          <w:color w:val="000000"/>
          <w:sz w:val="32"/>
        </w:rPr>
        <w:t xml:space="preserve">   </w:t>
      </w:r>
    </w:p>
    <w:p>
      <w:pPr>
        <w:autoSpaceDE w:val="0"/>
        <w:autoSpaceDN w:val="0"/>
        <w:rPr>
          <w:rFonts w:hint="eastAsia" w:ascii="楷体_GB2312" w:hAnsi="楷体_GB2312" w:eastAsia="楷体_GB2312" w:cs="楷体_GB2312"/>
          <w:b/>
          <w:bCs w:val="0"/>
          <w:color w:val="000000"/>
          <w:sz w:val="32"/>
        </w:rPr>
      </w:pPr>
      <w:r>
        <w:rPr>
          <w:rFonts w:hint="eastAsia" w:ascii="楷体_GB2312" w:hAnsi="楷体_GB2312" w:eastAsia="楷体_GB2312" w:cs="楷体_GB2312"/>
          <w:b/>
          <w:bCs w:val="0"/>
          <w:color w:val="000000"/>
          <w:sz w:val="32"/>
        </w:rPr>
        <w:t>八、名词解释</w:t>
      </w:r>
    </w:p>
    <w:p>
      <w:pPr>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1</w:t>
      </w:r>
      <w:r>
        <w:rPr>
          <w:rFonts w:hint="eastAsia" w:ascii="楷体_GB2312" w:hAnsi="楷体_GB2312" w:eastAsia="楷体_GB2312" w:cs="楷体_GB2312"/>
          <w:color w:val="000000"/>
          <w:sz w:val="32"/>
        </w:rPr>
        <w:t>、一般共预算拨款收入：指省级财政当年拨付的资金。</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2</w:t>
      </w:r>
      <w:r>
        <w:rPr>
          <w:rFonts w:hint="eastAsia" w:ascii="楷体_GB2312" w:hAnsi="楷体_GB2312" w:eastAsia="楷体_GB2312" w:cs="楷体_GB2312"/>
          <w:color w:val="000000"/>
          <w:sz w:val="32"/>
        </w:rPr>
        <w:t>、事业收入：指事业单位开展专业业务活动及辅助活动所取得的收入。</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3</w:t>
      </w:r>
      <w:r>
        <w:rPr>
          <w:rFonts w:hint="eastAsia" w:ascii="楷体_GB2312" w:hAnsi="楷体_GB2312" w:eastAsia="楷体_GB2312" w:cs="楷体_GB2312"/>
          <w:color w:val="000000"/>
          <w:sz w:val="32"/>
        </w:rPr>
        <w:t>、其他收入：指除上述“财政拨款收入”、“事业收入”等以外的收入。</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4</w:t>
      </w:r>
      <w:r>
        <w:rPr>
          <w:rFonts w:hint="eastAsia" w:ascii="楷体_GB2312" w:hAnsi="楷体_GB2312" w:eastAsia="楷体_GB2312" w:cs="楷体_GB2312"/>
          <w:color w:val="000000"/>
          <w:sz w:val="32"/>
        </w:rPr>
        <w:t>、基本支出：指为保障机构正常运转、完成日常工作任务而发生的人员支出和公用支出。</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5</w:t>
      </w:r>
      <w:r>
        <w:rPr>
          <w:rFonts w:hint="eastAsia" w:ascii="楷体_GB2312" w:hAnsi="楷体_GB2312" w:eastAsia="楷体_GB2312" w:cs="楷体_GB2312"/>
          <w:color w:val="000000"/>
          <w:sz w:val="32"/>
        </w:rPr>
        <w:t>、项目支出：指在基本支出之外为完成特定行政任务和事业发展目标所发生的支出。</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6</w:t>
      </w:r>
      <w:r>
        <w:rPr>
          <w:rFonts w:hint="eastAsia" w:ascii="楷体_GB2312" w:hAnsi="楷体_GB2312" w:eastAsia="楷体_GB2312" w:cs="楷体_GB2312"/>
          <w:color w:val="000000"/>
          <w:sz w:val="32"/>
        </w:rPr>
        <w:t>、上缴上级支出：指所属单位上缴上级的支出。</w:t>
      </w:r>
    </w:p>
    <w:p>
      <w:pPr>
        <w:autoSpaceDE w:val="0"/>
        <w:autoSpaceDN w:val="0"/>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7</w:t>
      </w:r>
      <w:r>
        <w:rPr>
          <w:rFonts w:hint="eastAsia" w:ascii="楷体_GB2312" w:hAnsi="楷体_GB2312" w:eastAsia="楷体_GB2312" w:cs="楷体_GB2312"/>
          <w:color w:val="000000"/>
          <w:sz w:val="32"/>
        </w:rPr>
        <w:t>、</w:t>
      </w:r>
      <w:r>
        <w:rPr>
          <w:rFonts w:hint="eastAsia" w:ascii="楷体_GB2312" w:hAnsi="楷体_GB2312" w:eastAsia="楷体_GB2312" w:cs="楷体_GB2312"/>
          <w:b/>
          <w:color w:val="000000"/>
          <w:sz w:val="32"/>
        </w:rPr>
        <w:t>“</w:t>
      </w:r>
      <w:r>
        <w:rPr>
          <w:rFonts w:hint="eastAsia" w:ascii="楷体_GB2312" w:hAnsi="楷体_GB2312" w:eastAsia="楷体_GB2312" w:cs="楷体_GB2312"/>
          <w:color w:val="000000"/>
          <w:sz w:val="32"/>
        </w:rPr>
        <w:t>三公</w:t>
      </w:r>
      <w:r>
        <w:rPr>
          <w:rFonts w:hint="eastAsia" w:ascii="楷体_GB2312" w:hAnsi="楷体_GB2312" w:eastAsia="楷体_GB2312" w:cs="楷体_GB2312"/>
          <w:b/>
          <w:color w:val="000000"/>
          <w:sz w:val="32"/>
        </w:rPr>
        <w:t>”</w:t>
      </w:r>
      <w:r>
        <w:rPr>
          <w:rFonts w:hint="eastAsia" w:ascii="楷体_GB2312" w:hAnsi="楷体_GB2312" w:eastAsia="楷体_GB2312" w:cs="楷体_GB2312"/>
          <w:color w:val="000000"/>
          <w:sz w:val="32"/>
        </w:rPr>
        <w:t>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支出。</w:t>
      </w:r>
    </w:p>
    <w:p>
      <w:pPr>
        <w:ind w:firstLine="707" w:firstLineChars="220"/>
        <w:rPr>
          <w:rFonts w:hint="eastAsia" w:ascii="楷体_GB2312" w:hAnsi="楷体_GB2312" w:eastAsia="楷体_GB2312" w:cs="楷体_GB2312"/>
          <w:color w:val="000000"/>
          <w:sz w:val="32"/>
        </w:rPr>
      </w:pPr>
      <w:r>
        <w:rPr>
          <w:rFonts w:hint="eastAsia" w:ascii="楷体_GB2312" w:hAnsi="楷体_GB2312" w:eastAsia="楷体_GB2312" w:cs="楷体_GB2312"/>
          <w:b/>
          <w:color w:val="000000"/>
          <w:sz w:val="32"/>
        </w:rPr>
        <w:t>8</w:t>
      </w:r>
      <w:r>
        <w:rPr>
          <w:rFonts w:hint="eastAsia" w:ascii="楷体_GB2312" w:hAnsi="楷体_GB2312" w:eastAsia="楷体_GB2312" w:cs="楷体_GB2312"/>
          <w:color w:val="000000"/>
          <w:sz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rPr>
          <w:rFonts w:hint="eastAsia" w:ascii="楷体_GB2312" w:hAnsi="楷体_GB2312" w:eastAsia="楷体_GB2312" w:cs="楷体_GB2312"/>
          <w:b/>
          <w:bCs w:val="0"/>
          <w:color w:val="000000"/>
          <w:sz w:val="32"/>
        </w:rPr>
      </w:pPr>
      <w:r>
        <w:rPr>
          <w:rFonts w:hint="eastAsia" w:ascii="楷体_GB2312" w:hAnsi="楷体_GB2312" w:eastAsia="楷体_GB2312" w:cs="楷体_GB2312"/>
          <w:b/>
          <w:bCs w:val="0"/>
          <w:color w:val="000000"/>
          <w:sz w:val="32"/>
        </w:rPr>
        <w:t>九、其他需说明事项</w:t>
      </w:r>
    </w:p>
    <w:p>
      <w:pPr>
        <w:ind w:firstLine="480" w:firstLineChars="150"/>
        <w:rPr>
          <w:rFonts w:hint="eastAsia" w:ascii="楷体_GB2312" w:hAnsi="楷体_GB2312" w:eastAsia="楷体_GB2312" w:cs="楷体_GB2312"/>
          <w:color w:val="000000"/>
          <w:sz w:val="32"/>
        </w:rPr>
      </w:pPr>
      <w:r>
        <w:rPr>
          <w:rFonts w:hint="eastAsia" w:ascii="楷体_GB2312" w:hAnsi="楷体_GB2312" w:eastAsia="楷体_GB2312" w:cs="楷体_GB2312"/>
          <w:color w:val="000000"/>
          <w:sz w:val="32"/>
        </w:rPr>
        <w:t>无其他需说明事项</w:t>
      </w:r>
    </w:p>
    <w:p>
      <w:pPr>
        <w:pStyle w:val="2"/>
        <w:rPr>
          <w:rFonts w:hint="eastAsia" w:ascii="仿宋" w:hAnsi="仿宋" w:eastAsia="仿宋" w:cs="仿宋"/>
          <w:sz w:val="32"/>
          <w:szCs w:val="32"/>
        </w:rPr>
      </w:pPr>
    </w:p>
    <w:sectPr>
      <w:pgSz w:w="15840" w:h="12240" w:orient="landscape"/>
      <w:pgMar w:top="1134" w:right="1134" w:bottom="1134" w:left="1134"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FZXiaoBiaoSong-B05">
    <w:altName w:val="Latha"/>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FZFangSong-Z02">
    <w:altName w:val="Latha"/>
    <w:panose1 w:val="00000000000000000000"/>
    <w:charset w:val="00"/>
    <w:family w:val="swiss"/>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1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Latha">
    <w:panose1 w:val="02000400000000000000"/>
    <w:charset w:val="00"/>
    <w:family w:val="auto"/>
    <w:pitch w:val="default"/>
    <w:sig w:usb0="001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仿宋">
    <w:altName w:val="宋体"/>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书宋_GBK">
    <w:altName w:val="方正兰亭超细黑简体"/>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VerticalSpacing w:val="160"/>
  <w:displayHorizontalDrawingGridEvery w:val="1"/>
  <w:displayVerticalDrawingGridEvery w:val="2"/>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90EB2"/>
    <w:rsid w:val="187A4E01"/>
    <w:rsid w:val="2B3E47CB"/>
    <w:rsid w:val="36C35DB1"/>
    <w:rsid w:val="3CFB1E57"/>
    <w:rsid w:val="3D220A4B"/>
    <w:rsid w:val="3D7E6712"/>
    <w:rsid w:val="46BD3633"/>
    <w:rsid w:val="46C344C2"/>
    <w:rsid w:val="61D82DA6"/>
    <w:rsid w:val="671437C9"/>
    <w:rsid w:val="6A545893"/>
    <w:rsid w:val="6E3421F2"/>
    <w:rsid w:val="71C93052"/>
    <w:rsid w:val="771D31BE"/>
    <w:rsid w:val="7E6868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2017-05-09T03:24:00Z</dcterms:created>
  <dc:creator>Lenovo</dc:creator>
  <cp:lastModifiedBy>Administrator</cp:lastModifiedBy>
  <dcterms:modified xsi:type="dcterms:W3CDTF">2018-03-12T07:03:22Z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