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44"/>
          <w:szCs w:val="44"/>
        </w:rPr>
      </w:pPr>
      <w:r>
        <w:rPr>
          <w:rFonts w:hint="eastAsia"/>
          <w:sz w:val="44"/>
          <w:szCs w:val="44"/>
        </w:rPr>
        <w:t>邢台市委党校2017年部门预算信息公开说明</w:t>
      </w:r>
    </w:p>
    <w:p>
      <w:pPr>
        <w:pStyle w:val="2"/>
        <w:rPr>
          <w:rFonts w:hint="eastAsia"/>
          <w:sz w:val="36"/>
          <w:szCs w:val="36"/>
        </w:rPr>
      </w:pPr>
    </w:p>
    <w:p>
      <w:pPr>
        <w:pStyle w:val="2"/>
        <w:rPr>
          <w:rFonts w:hint="eastAsia" w:ascii="仿宋" w:hAnsi="仿宋" w:eastAsia="仿宋" w:cs="仿宋"/>
          <w:sz w:val="32"/>
          <w:szCs w:val="32"/>
        </w:rPr>
      </w:pPr>
      <w:r>
        <w:rPr>
          <w:rFonts w:hint="eastAsia"/>
          <w:sz w:val="36"/>
          <w:szCs w:val="36"/>
        </w:rPr>
        <w:t xml:space="preserve">   </w:t>
      </w:r>
      <w:r>
        <w:rPr>
          <w:rFonts w:hint="eastAsia" w:ascii="仿宋" w:hAnsi="仿宋" w:eastAsia="仿宋" w:cs="仿宋"/>
          <w:sz w:val="32"/>
          <w:szCs w:val="32"/>
        </w:rPr>
        <w:t xml:space="preserve"> 按照《预算法》、《地方预决算公开操作规程》和《河北省省级预算公开办法》规定，现将邢台市委党校2017年部门预算公开如下：</w:t>
      </w:r>
    </w:p>
    <w:p>
      <w:pPr>
        <w:pStyle w:val="2"/>
        <w:rPr>
          <w:rFonts w:hint="eastAsia" w:ascii="仿宋" w:hAnsi="仿宋" w:eastAsia="仿宋" w:cs="仿宋"/>
          <w:sz w:val="32"/>
          <w:szCs w:val="32"/>
        </w:rPr>
      </w:pPr>
      <w:r>
        <w:rPr>
          <w:rFonts w:hint="eastAsia" w:ascii="仿宋" w:hAnsi="仿宋" w:eastAsia="仿宋" w:cs="仿宋"/>
          <w:sz w:val="32"/>
          <w:szCs w:val="32"/>
        </w:rPr>
        <w:t>一、 部门职责及机构设置情况</w:t>
      </w:r>
    </w:p>
    <w:p>
      <w:pPr>
        <w:pStyle w:val="2"/>
        <w:rPr>
          <w:rFonts w:hint="eastAsia" w:ascii="仿宋" w:hAnsi="仿宋" w:eastAsia="仿宋" w:cs="仿宋"/>
          <w:sz w:val="32"/>
          <w:szCs w:val="32"/>
        </w:rPr>
      </w:pPr>
      <w:r>
        <w:rPr>
          <w:rFonts w:hint="eastAsia" w:ascii="仿宋" w:hAnsi="仿宋" w:eastAsia="仿宋" w:cs="仿宋"/>
          <w:sz w:val="32"/>
          <w:szCs w:val="32"/>
        </w:rPr>
        <w:t>　　部门职责：</w:t>
      </w:r>
    </w:p>
    <w:p>
      <w:pPr>
        <w:pStyle w:val="2"/>
        <w:rPr>
          <w:rFonts w:hint="eastAsia" w:ascii="仿宋" w:hAnsi="仿宋" w:eastAsia="仿宋" w:cs="仿宋"/>
          <w:sz w:val="32"/>
          <w:szCs w:val="32"/>
        </w:rPr>
      </w:pPr>
      <w:r>
        <w:rPr>
          <w:rFonts w:hint="eastAsia" w:ascii="仿宋" w:hAnsi="仿宋" w:eastAsia="仿宋" w:cs="仿宋"/>
          <w:sz w:val="32"/>
          <w:szCs w:val="32"/>
        </w:rPr>
        <w:t xml:space="preserve">   （一）根据中央、省党委大规模培训干部、大幅度提高干部素质和市委加强干部队伍建设的要求，有计划地培训、轮训本地区县处级、科级党员领导干部、后备干部、少数民族干部、党外民主人士干部、妇女干部、青年干部、理论宣传骨干及乡党组织书记、村委会主任等。</w:t>
      </w:r>
    </w:p>
    <w:p>
      <w:pPr>
        <w:pStyle w:val="2"/>
        <w:rPr>
          <w:rFonts w:hint="eastAsia" w:ascii="仿宋" w:hAnsi="仿宋" w:eastAsia="仿宋" w:cs="仿宋"/>
          <w:sz w:val="32"/>
          <w:szCs w:val="32"/>
        </w:rPr>
      </w:pPr>
      <w:r>
        <w:rPr>
          <w:rFonts w:hint="eastAsia" w:ascii="仿宋" w:hAnsi="仿宋" w:eastAsia="仿宋" w:cs="仿宋"/>
          <w:sz w:val="32"/>
          <w:szCs w:val="32"/>
        </w:rPr>
        <w:t xml:space="preserve">  （二）负责承办省委党校在本地区的研究生学历教育。</w:t>
      </w:r>
    </w:p>
    <w:p>
      <w:pPr>
        <w:pStyle w:val="2"/>
        <w:rPr>
          <w:rFonts w:hint="eastAsia" w:ascii="仿宋" w:hAnsi="仿宋" w:eastAsia="仿宋" w:cs="仿宋"/>
          <w:sz w:val="32"/>
          <w:szCs w:val="32"/>
        </w:rPr>
      </w:pPr>
      <w:r>
        <w:rPr>
          <w:rFonts w:hint="eastAsia" w:ascii="仿宋" w:hAnsi="仿宋" w:eastAsia="仿宋" w:cs="仿宋"/>
          <w:sz w:val="32"/>
          <w:szCs w:val="32"/>
        </w:rPr>
        <w:t xml:space="preserve">  （三）围绕市委中心工作，对本地区经济社会发展中出现的新情况、新问题开展理论和政策研究；为市委、市政府有关全市经济和社会发展的重要决策提供咨询研究和资政服务；组织专家学者研究全市经济社会发展的重要决策课题，开展调查研究，对全局性的经济社会决策问题进行形势分析和预测，发挥智库作用。</w:t>
      </w:r>
    </w:p>
    <w:p>
      <w:pPr>
        <w:pStyle w:val="2"/>
        <w:rPr>
          <w:rFonts w:hint="eastAsia" w:ascii="仿宋" w:hAnsi="仿宋" w:eastAsia="仿宋" w:cs="仿宋"/>
          <w:sz w:val="32"/>
          <w:szCs w:val="32"/>
        </w:rPr>
      </w:pPr>
      <w:r>
        <w:rPr>
          <w:rFonts w:hint="eastAsia" w:ascii="仿宋" w:hAnsi="仿宋" w:eastAsia="仿宋" w:cs="仿宋"/>
          <w:sz w:val="32"/>
          <w:szCs w:val="32"/>
        </w:rPr>
        <w:t xml:space="preserve"> （四）通过教学培训、科研活动、理论下基层宣讲等工作，积极宣传中央、省委、市委决策部署，阐释时政热点，解读政策举措。</w:t>
      </w:r>
    </w:p>
    <w:p>
      <w:pPr>
        <w:pStyle w:val="2"/>
        <w:rPr>
          <w:rFonts w:hint="eastAsia" w:ascii="仿宋" w:hAnsi="仿宋" w:eastAsia="仿宋" w:cs="仿宋"/>
          <w:sz w:val="32"/>
          <w:szCs w:val="32"/>
        </w:rPr>
      </w:pPr>
      <w:r>
        <w:rPr>
          <w:rFonts w:hint="eastAsia" w:ascii="仿宋" w:hAnsi="仿宋" w:eastAsia="仿宋" w:cs="仿宋"/>
          <w:sz w:val="32"/>
          <w:szCs w:val="32"/>
        </w:rPr>
        <w:t xml:space="preserve"> （五）加强县级党校工作指导，建立指导日常管理，统筹培训计划、班次学制、科研协作、师资调配、教学评估的运行机制，全面提升办学质量和水平。</w:t>
      </w:r>
    </w:p>
    <w:p>
      <w:pPr>
        <w:pStyle w:val="2"/>
        <w:rPr>
          <w:rFonts w:hint="eastAsia" w:ascii="仿宋" w:hAnsi="仿宋" w:eastAsia="仿宋" w:cs="仿宋"/>
          <w:sz w:val="32"/>
          <w:szCs w:val="32"/>
        </w:rPr>
      </w:pPr>
      <w:r>
        <w:rPr>
          <w:rFonts w:hint="eastAsia" w:ascii="仿宋" w:hAnsi="仿宋" w:eastAsia="仿宋" w:cs="仿宋"/>
          <w:sz w:val="32"/>
          <w:szCs w:val="32"/>
        </w:rPr>
        <w:t xml:space="preserve">机构设置 </w:t>
      </w:r>
    </w:p>
    <w:p>
      <w:pPr>
        <w:pStyle w:val="2"/>
        <w:rPr>
          <w:rFonts w:hint="eastAsia" w:ascii="仿宋" w:hAnsi="仿宋" w:eastAsia="仿宋" w:cs="仿宋"/>
          <w:sz w:val="32"/>
          <w:szCs w:val="32"/>
        </w:rPr>
      </w:pPr>
      <w:r>
        <w:rPr>
          <w:rFonts w:hint="eastAsia" w:ascii="仿宋" w:hAnsi="仿宋" w:eastAsia="仿宋" w:cs="仿宋"/>
          <w:sz w:val="32"/>
          <w:szCs w:val="32"/>
        </w:rPr>
        <w:t>邢台市委党校部门机构设置情况：</w:t>
      </w:r>
    </w:p>
    <w:tbl>
      <w:tblPr>
        <w:tblStyle w:val="4"/>
        <w:tblW w:w="113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5"/>
        <w:gridCol w:w="3085"/>
        <w:gridCol w:w="2158"/>
        <w:gridCol w:w="2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85"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Times New Roman" w:hAnsi="Times New Roman" w:eastAsia="方正书宋_GBK"/>
                <w:b w:val="0"/>
                <w:bCs/>
                <w:sz w:val="24"/>
                <w:szCs w:val="24"/>
              </w:rPr>
              <w:t>单位名称</w:t>
            </w:r>
          </w:p>
        </w:tc>
        <w:tc>
          <w:tcPr>
            <w:tcW w:w="3085"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Times New Roman" w:hAnsi="Times New Roman" w:eastAsia="方正书宋_GBK"/>
                <w:b w:val="0"/>
                <w:bCs/>
                <w:sz w:val="24"/>
                <w:szCs w:val="24"/>
              </w:rPr>
              <w:t>单位性质</w:t>
            </w:r>
          </w:p>
        </w:tc>
        <w:tc>
          <w:tcPr>
            <w:tcW w:w="2158"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Times New Roman" w:hAnsi="Times New Roman" w:eastAsia="方正书宋_GBK"/>
                <w:b w:val="0"/>
                <w:bCs/>
                <w:sz w:val="24"/>
                <w:szCs w:val="24"/>
              </w:rPr>
              <w:t>单位规格</w:t>
            </w:r>
          </w:p>
        </w:tc>
        <w:tc>
          <w:tcPr>
            <w:tcW w:w="2411"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Times New Roman" w:hAnsi="Times New Roman" w:eastAsia="方正书宋_GBK"/>
                <w:b w:val="0"/>
                <w:bCs/>
                <w:sz w:val="24"/>
                <w:szCs w:val="24"/>
              </w:rPr>
              <w:t>经费保障形式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685"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hint="eastAsia" w:ascii="仿宋_GB2312" w:hAnsi="仿宋_GB2312" w:eastAsia="仿宋_GB2312"/>
                <w:b w:val="0"/>
                <w:bCs/>
                <w:kern w:val="0"/>
                <w:sz w:val="24"/>
                <w:szCs w:val="24"/>
              </w:rPr>
              <w:t>邢台</w:t>
            </w:r>
            <w:r>
              <w:rPr>
                <w:rFonts w:hint="eastAsia" w:ascii="仿宋_GB2312" w:hAnsi="仿宋_GB2312" w:eastAsia="仿宋_GB2312"/>
                <w:b w:val="0"/>
                <w:bCs/>
                <w:kern w:val="0"/>
                <w:sz w:val="24"/>
                <w:szCs w:val="24"/>
                <w:lang w:eastAsia="zh-CN"/>
              </w:rPr>
              <w:t>市委党校</w:t>
            </w:r>
          </w:p>
        </w:tc>
        <w:tc>
          <w:tcPr>
            <w:tcW w:w="3085" w:type="dxa"/>
            <w:vAlign w:val="top"/>
          </w:tcPr>
          <w:p>
            <w:pPr>
              <w:autoSpaceDE w:val="0"/>
              <w:autoSpaceDN w:val="0"/>
              <w:adjustRightInd w:val="0"/>
              <w:jc w:val="left"/>
              <w:rPr>
                <w:rFonts w:hint="eastAsia" w:ascii="仿宋_GB2312" w:hAnsi="仿宋_GB2312" w:eastAsia="仿宋_GB2312"/>
                <w:b w:val="0"/>
                <w:bCs/>
                <w:kern w:val="0"/>
                <w:sz w:val="24"/>
                <w:szCs w:val="24"/>
                <w:lang w:eastAsia="zh-CN"/>
              </w:rPr>
            </w:pPr>
            <w:r>
              <w:rPr>
                <w:rFonts w:hint="eastAsia" w:ascii="仿宋_GB2312" w:hAnsi="仿宋_GB2312" w:eastAsia="仿宋_GB2312"/>
                <w:b w:val="0"/>
                <w:bCs/>
                <w:kern w:val="0"/>
                <w:sz w:val="24"/>
                <w:szCs w:val="24"/>
                <w:lang w:eastAsia="zh-CN"/>
              </w:rPr>
              <w:t>事业</w:t>
            </w:r>
          </w:p>
        </w:tc>
        <w:tc>
          <w:tcPr>
            <w:tcW w:w="2158"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hint="eastAsia" w:ascii="仿宋_GB2312" w:hAnsi="仿宋_GB2312" w:eastAsia="仿宋_GB2312"/>
                <w:b w:val="0"/>
                <w:bCs/>
                <w:kern w:val="0"/>
                <w:sz w:val="24"/>
                <w:szCs w:val="24"/>
              </w:rPr>
              <w:t>正处级</w:t>
            </w:r>
          </w:p>
        </w:tc>
        <w:tc>
          <w:tcPr>
            <w:tcW w:w="2411" w:type="dxa"/>
            <w:vAlign w:val="top"/>
          </w:tcPr>
          <w:p>
            <w:pPr>
              <w:autoSpaceDE w:val="0"/>
              <w:autoSpaceDN w:val="0"/>
              <w:adjustRightInd w:val="0"/>
              <w:jc w:val="left"/>
              <w:rPr>
                <w:rFonts w:hint="eastAsia" w:ascii="仿宋_GB2312" w:hAnsi="仿宋_GB2312" w:eastAsia="仿宋_GB2312"/>
                <w:b w:val="0"/>
                <w:bCs/>
                <w:kern w:val="0"/>
                <w:sz w:val="24"/>
                <w:szCs w:val="24"/>
                <w:lang w:eastAsia="zh-CN"/>
              </w:rPr>
            </w:pPr>
            <w:r>
              <w:rPr>
                <w:rFonts w:hint="eastAsia" w:ascii="仿宋_GB2312" w:hAnsi="仿宋_GB2312" w:eastAsia="仿宋_GB2312"/>
                <w:b w:val="0"/>
                <w:bCs/>
                <w:kern w:val="0"/>
                <w:sz w:val="24"/>
                <w:szCs w:val="24"/>
                <w:lang w:eastAsia="zh-CN"/>
              </w:rPr>
              <w:t>财政性资金基本保证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85"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仿宋_GB2312" w:hAnsi="仿宋_GB2312" w:eastAsia="仿宋_GB2312"/>
                <w:b w:val="0"/>
                <w:bCs/>
                <w:kern w:val="0"/>
                <w:sz w:val="24"/>
                <w:szCs w:val="24"/>
              </w:rPr>
              <w:t>…</w:t>
            </w:r>
          </w:p>
        </w:tc>
        <w:tc>
          <w:tcPr>
            <w:tcW w:w="3085"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仿宋_GB2312" w:hAnsi="仿宋_GB2312" w:eastAsia="仿宋_GB2312"/>
                <w:b w:val="0"/>
                <w:bCs/>
                <w:kern w:val="0"/>
                <w:sz w:val="24"/>
                <w:szCs w:val="24"/>
              </w:rPr>
              <w:t>…</w:t>
            </w:r>
          </w:p>
        </w:tc>
        <w:tc>
          <w:tcPr>
            <w:tcW w:w="2158"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仿宋_GB2312" w:hAnsi="仿宋_GB2312" w:eastAsia="仿宋_GB2312"/>
                <w:b w:val="0"/>
                <w:bCs/>
                <w:kern w:val="0"/>
                <w:sz w:val="24"/>
                <w:szCs w:val="24"/>
              </w:rPr>
              <w:t>…</w:t>
            </w:r>
          </w:p>
        </w:tc>
        <w:tc>
          <w:tcPr>
            <w:tcW w:w="2411"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仿宋_GB2312" w:hAnsi="仿宋_GB2312" w:eastAsia="仿宋_GB2312"/>
                <w:b w:val="0"/>
                <w:bCs/>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85"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仿宋_GB2312" w:hAnsi="仿宋_GB2312" w:eastAsia="仿宋_GB2312"/>
                <w:b w:val="0"/>
                <w:bCs/>
                <w:kern w:val="0"/>
                <w:sz w:val="24"/>
                <w:szCs w:val="24"/>
              </w:rPr>
              <w:t>…</w:t>
            </w:r>
          </w:p>
        </w:tc>
        <w:tc>
          <w:tcPr>
            <w:tcW w:w="3085"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仿宋_GB2312" w:hAnsi="仿宋_GB2312" w:eastAsia="仿宋_GB2312"/>
                <w:b w:val="0"/>
                <w:bCs/>
                <w:kern w:val="0"/>
                <w:sz w:val="24"/>
                <w:szCs w:val="24"/>
              </w:rPr>
              <w:t>…</w:t>
            </w:r>
          </w:p>
        </w:tc>
        <w:tc>
          <w:tcPr>
            <w:tcW w:w="2158"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仿宋_GB2312" w:hAnsi="仿宋_GB2312" w:eastAsia="仿宋_GB2312"/>
                <w:b w:val="0"/>
                <w:bCs/>
                <w:kern w:val="0"/>
                <w:sz w:val="24"/>
                <w:szCs w:val="24"/>
              </w:rPr>
              <w:t>…</w:t>
            </w:r>
          </w:p>
        </w:tc>
        <w:tc>
          <w:tcPr>
            <w:tcW w:w="2411" w:type="dxa"/>
            <w:vAlign w:val="top"/>
          </w:tcPr>
          <w:p>
            <w:pPr>
              <w:autoSpaceDE w:val="0"/>
              <w:autoSpaceDN w:val="0"/>
              <w:adjustRightInd w:val="0"/>
              <w:jc w:val="left"/>
              <w:rPr>
                <w:rFonts w:hint="eastAsia" w:ascii="仿宋_GB2312" w:hAnsi="仿宋_GB2312" w:eastAsia="仿宋_GB2312"/>
                <w:b w:val="0"/>
                <w:bCs/>
                <w:kern w:val="0"/>
                <w:sz w:val="24"/>
                <w:szCs w:val="24"/>
              </w:rPr>
            </w:pPr>
            <w:r>
              <w:rPr>
                <w:rFonts w:ascii="仿宋_GB2312" w:hAnsi="仿宋_GB2312" w:eastAsia="仿宋_GB2312"/>
                <w:b w:val="0"/>
                <w:bCs/>
                <w:kern w:val="0"/>
                <w:sz w:val="24"/>
                <w:szCs w:val="24"/>
              </w:rPr>
              <w:t>…</w:t>
            </w:r>
          </w:p>
        </w:tc>
      </w:tr>
    </w:tbl>
    <w:p>
      <w:pPr>
        <w:pStyle w:val="2"/>
        <w:rPr>
          <w:rFonts w:hint="eastAsia" w:ascii="仿宋" w:hAnsi="仿宋" w:eastAsia="仿宋" w:cs="仿宋"/>
          <w:sz w:val="32"/>
          <w:szCs w:val="32"/>
        </w:rPr>
      </w:pPr>
      <w:r>
        <w:rPr>
          <w:rFonts w:hint="eastAsia" w:ascii="仿宋" w:hAnsi="仿宋" w:eastAsia="仿宋" w:cs="仿宋"/>
          <w:sz w:val="32"/>
          <w:szCs w:val="32"/>
        </w:rPr>
        <w:t xml:space="preserve"> 二、部门预算安排的总体情况</w:t>
      </w:r>
    </w:p>
    <w:p>
      <w:pPr>
        <w:pStyle w:val="2"/>
        <w:rPr>
          <w:rFonts w:hint="eastAsia" w:ascii="仿宋" w:hAnsi="仿宋" w:eastAsia="仿宋" w:cs="仿宋"/>
          <w:sz w:val="32"/>
          <w:szCs w:val="32"/>
        </w:rPr>
      </w:pPr>
      <w:r>
        <w:rPr>
          <w:rFonts w:hint="eastAsia" w:ascii="仿宋" w:hAnsi="仿宋" w:eastAsia="仿宋" w:cs="仿宋"/>
          <w:sz w:val="32"/>
          <w:szCs w:val="32"/>
        </w:rPr>
        <w:t xml:space="preserve">    按照预算管理有关规定，目前我局部门预算的编制实行综合预算制度，即全部收入和支出都反映预算中。邢台市财政局机关及所属事业单位的收支包含在部门预算中。</w:t>
      </w:r>
    </w:p>
    <w:p>
      <w:pPr>
        <w:pStyle w:val="2"/>
        <w:rPr>
          <w:rFonts w:hint="eastAsia" w:ascii="仿宋" w:hAnsi="仿宋" w:eastAsia="仿宋" w:cs="仿宋"/>
          <w:sz w:val="32"/>
          <w:szCs w:val="32"/>
        </w:rPr>
      </w:pPr>
      <w:r>
        <w:rPr>
          <w:rFonts w:hint="eastAsia" w:ascii="仿宋" w:hAnsi="仿宋" w:eastAsia="仿宋" w:cs="仿宋"/>
          <w:sz w:val="32"/>
          <w:szCs w:val="32"/>
        </w:rPr>
        <w:t xml:space="preserve"> 1、收入说明</w:t>
      </w:r>
    </w:p>
    <w:p>
      <w:pPr>
        <w:pStyle w:val="2"/>
        <w:rPr>
          <w:rFonts w:hint="eastAsia" w:ascii="仿宋" w:hAnsi="仿宋" w:eastAsia="仿宋" w:cs="仿宋"/>
          <w:sz w:val="32"/>
          <w:szCs w:val="32"/>
        </w:rPr>
      </w:pPr>
      <w:r>
        <w:rPr>
          <w:rFonts w:hint="eastAsia" w:ascii="仿宋" w:hAnsi="仿宋" w:eastAsia="仿宋" w:cs="仿宋"/>
          <w:sz w:val="32"/>
          <w:szCs w:val="32"/>
        </w:rPr>
        <w:t>反映本部门当年全部收入。2017年财政拨款预算收入</w:t>
      </w:r>
      <w:r>
        <w:rPr>
          <w:rFonts w:hint="eastAsia" w:ascii="仿宋" w:hAnsi="仿宋" w:eastAsia="仿宋" w:cs="仿宋"/>
          <w:sz w:val="32"/>
          <w:szCs w:val="32"/>
          <w:lang w:val="en-US" w:eastAsia="zh-CN"/>
        </w:rPr>
        <w:t>1695.39</w:t>
      </w:r>
      <w:r>
        <w:rPr>
          <w:rFonts w:hint="eastAsia" w:ascii="仿宋" w:hAnsi="仿宋" w:eastAsia="仿宋" w:cs="仿宋"/>
          <w:sz w:val="32"/>
          <w:szCs w:val="32"/>
        </w:rPr>
        <w:t>万元。</w:t>
      </w:r>
    </w:p>
    <w:p>
      <w:pPr>
        <w:pStyle w:val="2"/>
        <w:rPr>
          <w:rFonts w:hint="eastAsia" w:ascii="仿宋" w:hAnsi="仿宋" w:eastAsia="仿宋" w:cs="仿宋"/>
          <w:sz w:val="32"/>
          <w:szCs w:val="32"/>
        </w:rPr>
      </w:pPr>
      <w:r>
        <w:rPr>
          <w:rFonts w:hint="eastAsia" w:ascii="仿宋" w:hAnsi="仿宋" w:eastAsia="仿宋" w:cs="仿宋"/>
          <w:sz w:val="32"/>
          <w:szCs w:val="32"/>
        </w:rPr>
        <w:t xml:space="preserve"> 2、支出说明</w:t>
      </w:r>
    </w:p>
    <w:p>
      <w:pPr>
        <w:pStyle w:val="2"/>
        <w:rPr>
          <w:rFonts w:hint="eastAsia" w:ascii="仿宋" w:hAnsi="仿宋" w:eastAsia="仿宋" w:cs="仿宋"/>
          <w:sz w:val="32"/>
          <w:szCs w:val="32"/>
        </w:rPr>
      </w:pPr>
      <w:r>
        <w:rPr>
          <w:rFonts w:hint="eastAsia" w:ascii="仿宋" w:hAnsi="仿宋" w:eastAsia="仿宋" w:cs="仿宋"/>
          <w:sz w:val="32"/>
          <w:szCs w:val="32"/>
        </w:rPr>
        <w:t xml:space="preserve">    收支预算总表支出栏、基本支出表、项目支出表按经济分类和支出功能分类科目编制，反映邢台市委党校年度部门预算中支出预算的总体情况。2017年支出预算</w:t>
      </w:r>
      <w:r>
        <w:rPr>
          <w:rFonts w:hint="eastAsia" w:ascii="仿宋" w:hAnsi="仿宋" w:eastAsia="仿宋" w:cs="仿宋"/>
          <w:sz w:val="32"/>
          <w:szCs w:val="32"/>
          <w:lang w:val="en-US" w:eastAsia="zh-CN"/>
        </w:rPr>
        <w:t>1695.39</w:t>
      </w:r>
      <w:r>
        <w:rPr>
          <w:rFonts w:hint="eastAsia" w:ascii="仿宋" w:hAnsi="仿宋" w:eastAsia="仿宋" w:cs="仿宋"/>
          <w:sz w:val="32"/>
          <w:szCs w:val="32"/>
        </w:rPr>
        <w:t>万元，其中教育支出</w:t>
      </w:r>
      <w:r>
        <w:rPr>
          <w:rFonts w:hint="eastAsia" w:ascii="仿宋" w:hAnsi="仿宋" w:eastAsia="仿宋" w:cs="仿宋"/>
          <w:sz w:val="32"/>
          <w:szCs w:val="32"/>
          <w:lang w:val="en-US" w:eastAsia="zh-CN"/>
        </w:rPr>
        <w:t>1695.39</w:t>
      </w:r>
      <w:r>
        <w:rPr>
          <w:rFonts w:hint="eastAsia" w:ascii="仿宋" w:hAnsi="仿宋" w:eastAsia="仿宋" w:cs="仿宋"/>
          <w:sz w:val="32"/>
          <w:szCs w:val="32"/>
        </w:rPr>
        <w:t>万元，包括</w:t>
      </w:r>
      <w:r>
        <w:rPr>
          <w:rFonts w:hint="eastAsia" w:ascii="仿宋" w:hAnsi="仿宋" w:eastAsia="仿宋" w:cs="仿宋"/>
          <w:sz w:val="32"/>
          <w:szCs w:val="32"/>
          <w:lang w:eastAsia="zh-CN"/>
        </w:rPr>
        <w:t>人员经费和正常公用经费以及</w:t>
      </w:r>
      <w:bookmarkStart w:id="1" w:name="_GoBack"/>
      <w:bookmarkEnd w:id="1"/>
      <w:r>
        <w:rPr>
          <w:rFonts w:hint="eastAsia" w:ascii="仿宋" w:hAnsi="仿宋" w:eastAsia="仿宋" w:cs="仿宋"/>
          <w:sz w:val="32"/>
          <w:szCs w:val="32"/>
        </w:rPr>
        <w:t xml:space="preserve">主体班培训项目、市委讲师团行政学院项目和特警驻训配套费用支出等。 </w:t>
      </w:r>
    </w:p>
    <w:p>
      <w:pPr>
        <w:pStyle w:val="2"/>
        <w:rPr>
          <w:rFonts w:hint="eastAsia" w:ascii="仿宋" w:hAnsi="仿宋" w:eastAsia="仿宋" w:cs="仿宋"/>
          <w:sz w:val="32"/>
          <w:szCs w:val="32"/>
        </w:rPr>
      </w:pPr>
      <w:r>
        <w:rPr>
          <w:rFonts w:hint="eastAsia" w:ascii="仿宋" w:hAnsi="仿宋" w:eastAsia="仿宋" w:cs="仿宋"/>
          <w:sz w:val="32"/>
          <w:szCs w:val="32"/>
        </w:rPr>
        <w:t xml:space="preserve"> 3、比上年增减情况</w:t>
      </w:r>
    </w:p>
    <w:p>
      <w:pPr>
        <w:pStyle w:val="2"/>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2017年预算收支安排</w:t>
      </w:r>
      <w:r>
        <w:rPr>
          <w:rFonts w:hint="eastAsia" w:ascii="仿宋" w:hAnsi="仿宋" w:eastAsia="仿宋" w:cs="仿宋"/>
          <w:sz w:val="32"/>
          <w:szCs w:val="32"/>
          <w:lang w:val="en-US" w:eastAsia="zh-CN"/>
        </w:rPr>
        <w:t>1695.39</w:t>
      </w:r>
      <w:r>
        <w:rPr>
          <w:rFonts w:hint="eastAsia" w:ascii="仿宋" w:hAnsi="仿宋" w:eastAsia="仿宋" w:cs="仿宋"/>
          <w:sz w:val="32"/>
          <w:szCs w:val="32"/>
        </w:rPr>
        <w:t>万元，较2016年预算减少</w:t>
      </w:r>
      <w:r>
        <w:rPr>
          <w:rFonts w:hint="eastAsia" w:ascii="仿宋" w:hAnsi="仿宋" w:eastAsia="仿宋" w:cs="仿宋"/>
          <w:sz w:val="32"/>
          <w:szCs w:val="32"/>
          <w:lang w:val="en-US" w:eastAsia="zh-CN"/>
        </w:rPr>
        <w:t>44.46</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119.54</w:t>
      </w:r>
      <w:r>
        <w:rPr>
          <w:rFonts w:hint="eastAsia" w:ascii="仿宋" w:hAnsi="仿宋" w:eastAsia="仿宋" w:cs="仿宋"/>
          <w:sz w:val="32"/>
          <w:szCs w:val="32"/>
        </w:rPr>
        <w:t>万元，主要为增加人员经费支出；项目支出减少</w:t>
      </w:r>
      <w:r>
        <w:rPr>
          <w:rFonts w:hint="eastAsia" w:ascii="仿宋" w:hAnsi="仿宋" w:eastAsia="仿宋" w:cs="仿宋"/>
          <w:sz w:val="32"/>
          <w:szCs w:val="32"/>
          <w:lang w:val="en-US" w:eastAsia="zh-CN"/>
        </w:rPr>
        <w:t>242</w:t>
      </w:r>
      <w:r>
        <w:rPr>
          <w:rFonts w:hint="eastAsia" w:ascii="仿宋" w:hAnsi="仿宋" w:eastAsia="仿宋" w:cs="仿宋"/>
          <w:sz w:val="32"/>
          <w:szCs w:val="32"/>
        </w:rPr>
        <w:t>万元。</w:t>
      </w:r>
    </w:p>
    <w:p>
      <w:pPr>
        <w:pStyle w:val="2"/>
        <w:rPr>
          <w:rFonts w:hint="eastAsia" w:ascii="仿宋" w:hAnsi="仿宋" w:eastAsia="仿宋" w:cs="仿宋"/>
          <w:sz w:val="32"/>
          <w:szCs w:val="32"/>
        </w:rPr>
      </w:pPr>
      <w:r>
        <w:rPr>
          <w:rFonts w:hint="eastAsia" w:ascii="仿宋" w:hAnsi="仿宋" w:eastAsia="仿宋" w:cs="仿宋"/>
          <w:sz w:val="32"/>
          <w:szCs w:val="32"/>
        </w:rPr>
        <w:t xml:space="preserve">    三、机关运行经费安排情况 </w:t>
      </w:r>
    </w:p>
    <w:p>
      <w:pPr>
        <w:pStyle w:val="2"/>
        <w:rPr>
          <w:rFonts w:hint="eastAsia" w:ascii="仿宋" w:hAnsi="仿宋" w:eastAsia="仿宋" w:cs="仿宋"/>
          <w:sz w:val="32"/>
          <w:szCs w:val="32"/>
        </w:rPr>
      </w:pPr>
      <w:r>
        <w:rPr>
          <w:rFonts w:hint="eastAsia" w:ascii="仿宋" w:hAnsi="仿宋" w:eastAsia="仿宋" w:cs="仿宋"/>
          <w:sz w:val="32"/>
          <w:szCs w:val="32"/>
        </w:rPr>
        <w:t>　　　　机关运行经费共计安排</w:t>
      </w:r>
      <w:r>
        <w:rPr>
          <w:rFonts w:hint="eastAsia" w:ascii="仿宋" w:hAnsi="仿宋" w:eastAsia="仿宋" w:cs="仿宋"/>
          <w:sz w:val="32"/>
          <w:szCs w:val="32"/>
          <w:lang w:val="en-US" w:eastAsia="zh-CN"/>
        </w:rPr>
        <w:t>123.63</w:t>
      </w:r>
      <w:r>
        <w:rPr>
          <w:rFonts w:hint="eastAsia" w:ascii="仿宋" w:hAnsi="仿宋" w:eastAsia="仿宋" w:cs="仿宋"/>
          <w:sz w:val="32"/>
          <w:szCs w:val="32"/>
        </w:rPr>
        <w:t>万元，主要用于办公用房水电费、办公用房取暖费、办公用房物业管理费等日常运行支出。</w:t>
      </w:r>
    </w:p>
    <w:p>
      <w:pPr>
        <w:pStyle w:val="2"/>
        <w:rPr>
          <w:rFonts w:hint="eastAsia" w:ascii="仿宋" w:hAnsi="仿宋" w:eastAsia="仿宋" w:cs="仿宋"/>
          <w:sz w:val="32"/>
          <w:szCs w:val="32"/>
        </w:rPr>
      </w:pPr>
      <w:r>
        <w:rPr>
          <w:rFonts w:hint="eastAsia" w:ascii="仿宋" w:hAnsi="仿宋" w:eastAsia="仿宋" w:cs="仿宋"/>
          <w:sz w:val="32"/>
          <w:szCs w:val="32"/>
        </w:rPr>
        <w:t xml:space="preserve">    四、财政拨款“三公”经费预算情况及增减变化原因</w:t>
      </w:r>
    </w:p>
    <w:p>
      <w:pPr>
        <w:pStyle w:val="2"/>
        <w:rPr>
          <w:rFonts w:hint="eastAsia" w:ascii="仿宋" w:hAnsi="仿宋" w:eastAsia="仿宋" w:cs="仿宋"/>
          <w:sz w:val="32"/>
          <w:szCs w:val="32"/>
        </w:rPr>
      </w:pPr>
      <w:r>
        <w:rPr>
          <w:rFonts w:hint="eastAsia" w:ascii="仿宋" w:hAnsi="仿宋" w:eastAsia="仿宋" w:cs="仿宋"/>
          <w:sz w:val="32"/>
          <w:szCs w:val="32"/>
        </w:rPr>
        <w:t>　　　　2017年，我局财政拨款“三公”经费预算安排4万元，其中：未安排因公出国经费，公务用车购置及运维费4万元（公务用车购置费为0，公务用车运行费4万元)，公务接待费3万元。比2016年减少12万元,减少主要原因是公车改革后公务用车运行经费减少。</w:t>
      </w:r>
    </w:p>
    <w:p>
      <w:pPr>
        <w:pStyle w:val="2"/>
        <w:rPr>
          <w:rFonts w:hint="eastAsia" w:ascii="仿宋" w:hAnsi="仿宋" w:eastAsia="仿宋" w:cs="仿宋"/>
          <w:sz w:val="32"/>
          <w:szCs w:val="32"/>
        </w:rPr>
      </w:pPr>
      <w:r>
        <w:rPr>
          <w:rFonts w:hint="eastAsia" w:ascii="仿宋" w:hAnsi="仿宋" w:eastAsia="仿宋" w:cs="仿宋"/>
          <w:sz w:val="32"/>
          <w:szCs w:val="32"/>
        </w:rPr>
        <w:t xml:space="preserve"> 五、绩效预算信息</w:t>
      </w:r>
    </w:p>
    <w:p>
      <w:pPr>
        <w:pStyle w:val="2"/>
        <w:rPr>
          <w:rFonts w:hint="eastAsia" w:ascii="仿宋" w:hAnsi="仿宋" w:eastAsia="仿宋" w:cs="仿宋"/>
          <w:sz w:val="32"/>
          <w:szCs w:val="32"/>
        </w:rPr>
      </w:pPr>
      <w:r>
        <w:rPr>
          <w:rFonts w:hint="eastAsia" w:ascii="仿宋" w:hAnsi="仿宋" w:eastAsia="仿宋" w:cs="仿宋"/>
          <w:sz w:val="32"/>
          <w:szCs w:val="32"/>
        </w:rPr>
        <w:t>　　总体绩效目标：</w:t>
      </w:r>
    </w:p>
    <w:p>
      <w:pPr>
        <w:pStyle w:val="2"/>
        <w:rPr>
          <w:rFonts w:hint="eastAsia" w:ascii="仿宋" w:hAnsi="仿宋" w:eastAsia="仿宋" w:cs="仿宋"/>
          <w:sz w:val="32"/>
          <w:szCs w:val="32"/>
        </w:rPr>
      </w:pPr>
      <w:r>
        <w:rPr>
          <w:rFonts w:hint="eastAsia" w:ascii="仿宋" w:hAnsi="仿宋" w:eastAsia="仿宋" w:cs="仿宋"/>
          <w:sz w:val="32"/>
          <w:szCs w:val="32"/>
        </w:rPr>
        <w:t>　　2017年，市委党校将继续认真贯彻落实党的十八大、十八届三中、四中、五中、六中全会以及中央和省、市工作会议精神，紧密围绕市委中心工作，坚持稳中求进的工作总基调，牢固树立和贯彻落实新发展理念，按照“三严三实”要求，认真贯彻落实中共中央《关于加强和改进新形势下党校工作的意见》，扎实推进班子建设、作风建设、队伍建设和校园建设，不断深化各项改革，全面提高办学水平，努力开创党校事业科学发展新局面。为全面建成小康社会，加快建设“经济强市、美丽邢台”提供有力支撑。</w:t>
      </w:r>
    </w:p>
    <w:p>
      <w:pPr>
        <w:pStyle w:val="2"/>
        <w:rPr>
          <w:rFonts w:hint="eastAsia" w:ascii="仿宋" w:hAnsi="仿宋" w:eastAsia="仿宋" w:cs="仿宋"/>
          <w:sz w:val="32"/>
          <w:szCs w:val="32"/>
        </w:rPr>
      </w:pPr>
      <w:r>
        <w:rPr>
          <w:rFonts w:hint="eastAsia" w:ascii="仿宋" w:hAnsi="仿宋" w:eastAsia="仿宋" w:cs="仿宋"/>
          <w:sz w:val="32"/>
          <w:szCs w:val="32"/>
        </w:rPr>
        <w:t>　　职责分类绩效目标：</w:t>
      </w:r>
    </w:p>
    <w:p>
      <w:pPr>
        <w:pStyle w:val="2"/>
        <w:rPr>
          <w:rFonts w:hint="eastAsia" w:ascii="仿宋" w:hAnsi="仿宋" w:eastAsia="仿宋" w:cs="仿宋"/>
          <w:sz w:val="32"/>
          <w:szCs w:val="32"/>
        </w:rPr>
      </w:pPr>
      <w:r>
        <w:rPr>
          <w:rFonts w:hint="eastAsia" w:ascii="仿宋" w:hAnsi="仿宋" w:eastAsia="仿宋" w:cs="仿宋"/>
          <w:sz w:val="32"/>
          <w:szCs w:val="32"/>
        </w:rPr>
        <w:t>一、完成干部培训绩效目标</w:t>
      </w:r>
    </w:p>
    <w:p>
      <w:pPr>
        <w:pStyle w:val="2"/>
        <w:rPr>
          <w:rFonts w:hint="eastAsia" w:ascii="仿宋" w:hAnsi="仿宋" w:eastAsia="仿宋" w:cs="仿宋"/>
          <w:sz w:val="32"/>
          <w:szCs w:val="32"/>
        </w:rPr>
      </w:pPr>
      <w:r>
        <w:rPr>
          <w:rFonts w:hint="eastAsia" w:ascii="仿宋" w:hAnsi="仿宋" w:eastAsia="仿宋" w:cs="仿宋"/>
          <w:sz w:val="32"/>
          <w:szCs w:val="32"/>
        </w:rPr>
        <w:t>　　1、党校的主要工作是完成领导干部培训学习，领导干部通过在党校的学习培训，提高自身的素质，进一步提升领导能力。通过在校学习习近平总书记系列重要讲话，总书记对河北工作的重要指示，省、市委领导重要讲话，市委、市政府重大会议精神和重要工作部署等重点内容，并采用理论中心组学习和自主学习相结合的方法。使领导干部进一步提升领导能力并提高决策水平。</w:t>
      </w:r>
    </w:p>
    <w:p>
      <w:pPr>
        <w:pStyle w:val="2"/>
        <w:ind w:firstLine="640"/>
        <w:rPr>
          <w:rFonts w:hint="eastAsia" w:ascii="仿宋" w:hAnsi="仿宋" w:eastAsia="仿宋" w:cs="仿宋"/>
          <w:sz w:val="32"/>
          <w:szCs w:val="32"/>
        </w:rPr>
      </w:pPr>
      <w:r>
        <w:rPr>
          <w:rFonts w:hint="eastAsia" w:ascii="仿宋" w:hAnsi="仿宋" w:eastAsia="仿宋" w:cs="仿宋"/>
          <w:sz w:val="32"/>
          <w:szCs w:val="32"/>
        </w:rPr>
        <w:t>2、落实主体责任，加强党风廉政建设。进一步全面落实中央“八项规定”和新近出台的廉洁自律准则、纪律处分条例，狠抓作风建设，严明政治纪律和政治规矩，执纪必严、违纪必究，打造清正廉洁的从政环境和忠诚干净的干部队伍。</w:t>
      </w:r>
    </w:p>
    <w:p>
      <w:pPr>
        <w:pStyle w:val="2"/>
        <w:rPr>
          <w:rFonts w:hint="eastAsia" w:ascii="仿宋" w:hAnsi="仿宋" w:eastAsia="仿宋" w:cs="仿宋"/>
          <w:sz w:val="32"/>
          <w:szCs w:val="32"/>
        </w:rPr>
      </w:pPr>
      <w:r>
        <w:rPr>
          <w:rFonts w:hint="eastAsia" w:ascii="仿宋" w:hAnsi="仿宋" w:eastAsia="仿宋" w:cs="仿宋"/>
          <w:sz w:val="32"/>
          <w:szCs w:val="32"/>
        </w:rPr>
        <w:t>二、开办研究生学历班绩效目标</w:t>
      </w:r>
    </w:p>
    <w:p>
      <w:pPr>
        <w:pStyle w:val="2"/>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完成省委党校研究生学历教育、市委党校在职研究生学历教育任务。做为邢台市省委党校研究生学历教育承接点，党校要积极配合省委党校完成省委党校研究生学历教育的招生任务，并提供教学场所，协助完成在职研究生的教学任务，以及毕业答辩等事宜，为省委党校研究生教育教学，提供便利周到的服务。为邢台在职研究生教育，提供一流的场地和优良的服务，完成中青年干部研究生学历教育，提升中青年干部的素质，为邢台市社会发展提供助推力。</w:t>
      </w:r>
    </w:p>
    <w:p>
      <w:pPr>
        <w:pStyle w:val="2"/>
        <w:rPr>
          <w:rFonts w:hint="eastAsia" w:ascii="仿宋" w:hAnsi="仿宋" w:eastAsia="仿宋" w:cs="仿宋"/>
          <w:sz w:val="32"/>
          <w:szCs w:val="32"/>
        </w:rPr>
      </w:pPr>
      <w:r>
        <w:rPr>
          <w:rFonts w:hint="eastAsia" w:ascii="仿宋" w:hAnsi="仿宋" w:eastAsia="仿宋" w:cs="仿宋"/>
          <w:sz w:val="32"/>
          <w:szCs w:val="32"/>
        </w:rPr>
        <w:t>三、师资与学科建设</w:t>
      </w:r>
    </w:p>
    <w:p>
      <w:pPr>
        <w:pStyle w:val="2"/>
        <w:rPr>
          <w:rFonts w:hint="eastAsia" w:ascii="仿宋" w:hAnsi="仿宋" w:eastAsia="仿宋" w:cs="仿宋"/>
          <w:sz w:val="32"/>
          <w:szCs w:val="32"/>
        </w:rPr>
      </w:pPr>
      <w:r>
        <w:rPr>
          <w:rFonts w:hint="eastAsia" w:ascii="仿宋" w:hAnsi="仿宋" w:eastAsia="仿宋" w:cs="仿宋"/>
          <w:sz w:val="32"/>
          <w:szCs w:val="32"/>
        </w:rPr>
        <w:t>　　1、组建邢台市情研究所。为进一步加强对邢台市情的调查研究，拟组建市情研究所。由常务副校长任所长，分管科研工作领导任副所长，选调骨干教师10－15名，分成2－3个研究小组，集中人力、物力等各种资源，在市委、市直各单位、各县（市、区）的支持下，全面深入地开展邢台市情调查研究，每年至少拿出3-5篇高质量的调研报告和决策参考。</w:t>
      </w:r>
    </w:p>
    <w:p>
      <w:pPr>
        <w:pStyle w:val="2"/>
        <w:rPr>
          <w:rFonts w:hint="eastAsia" w:ascii="仿宋" w:hAnsi="仿宋" w:eastAsia="仿宋" w:cs="仿宋"/>
          <w:sz w:val="32"/>
          <w:szCs w:val="32"/>
        </w:rPr>
      </w:pPr>
      <w:r>
        <w:rPr>
          <w:rFonts w:hint="eastAsia" w:ascii="仿宋" w:hAnsi="仿宋" w:eastAsia="仿宋" w:cs="仿宋"/>
          <w:sz w:val="32"/>
          <w:szCs w:val="32"/>
        </w:rPr>
        <w:t>　　2、进一步明确科研工作重点，加强科研工作的实用性。把加强市情研究，提供决策参考作为党校科研工作的重点，围绕市委、市政府中心工作，围绕我市经济社会发展的重点、热点问题，以应用对策性研究为主，深入开展社会调研，集中力量撰写高质量的调研报告，为市委、市政府科学决策提供参考。</w:t>
      </w:r>
    </w:p>
    <w:p>
      <w:pPr>
        <w:pStyle w:val="2"/>
        <w:rPr>
          <w:rFonts w:hint="eastAsia" w:ascii="仿宋" w:hAnsi="仿宋" w:eastAsia="仿宋" w:cs="仿宋"/>
          <w:sz w:val="32"/>
          <w:szCs w:val="32"/>
        </w:rPr>
      </w:pPr>
      <w:r>
        <w:rPr>
          <w:rFonts w:hint="eastAsia" w:ascii="仿宋" w:hAnsi="仿宋" w:eastAsia="仿宋" w:cs="仿宋"/>
          <w:sz w:val="32"/>
          <w:szCs w:val="32"/>
        </w:rPr>
        <w:t>　　3、不断改进科研工作方法，创造条件支持鼓励科研人员多到经济社会发展一线去。一方面加强与其他市直单位及县（市、区）合作，争取各方面的支持与配合。积极与“两办”、研究室等综合研究部门，发改委、工信局等职能单位沟通联系，参与或共同承担全市性的调查研究工作。另一方面健全科研激励约束机制，起草《科研工作量标准和科研成果资助办法》，加大科研资金配套力度，提高优秀科研成果奖励标准，引导科研人员提升研究层次和研究水平。</w:t>
      </w:r>
    </w:p>
    <w:p>
      <w:pPr>
        <w:pStyle w:val="2"/>
        <w:rPr>
          <w:rFonts w:hint="eastAsia" w:ascii="仿宋" w:hAnsi="仿宋" w:eastAsia="仿宋" w:cs="仿宋"/>
          <w:sz w:val="32"/>
          <w:szCs w:val="32"/>
        </w:rPr>
      </w:pPr>
      <w:r>
        <w:rPr>
          <w:rFonts w:hint="eastAsia" w:ascii="仿宋" w:hAnsi="仿宋" w:eastAsia="仿宋" w:cs="仿宋"/>
          <w:sz w:val="32"/>
          <w:szCs w:val="32"/>
        </w:rPr>
        <w:t>四、教学事务管理</w:t>
      </w:r>
    </w:p>
    <w:p>
      <w:pPr>
        <w:pStyle w:val="2"/>
        <w:rPr>
          <w:rFonts w:hint="eastAsia" w:ascii="仿宋" w:hAnsi="仿宋" w:eastAsia="仿宋" w:cs="仿宋"/>
          <w:sz w:val="32"/>
          <w:szCs w:val="32"/>
        </w:rPr>
      </w:pPr>
      <w:r>
        <w:rPr>
          <w:rFonts w:hint="eastAsia" w:ascii="仿宋" w:hAnsi="仿宋" w:eastAsia="仿宋" w:cs="仿宋"/>
          <w:sz w:val="32"/>
          <w:szCs w:val="32"/>
        </w:rPr>
        <w:t>　　1、注重基层锻炼。把了解掌握市情、民情，提高实践经验和宗旨意识做为培养年轻教职工的工作重点，结合正在开展的扶贫帮困“春雨行动”和党员志愿服务，组织年轻教职工经常到农村、社区中去，到经济社会发展一线去，到群众身边去。</w:t>
      </w:r>
    </w:p>
    <w:p>
      <w:pPr>
        <w:pStyle w:val="2"/>
        <w:rPr>
          <w:rFonts w:hint="eastAsia" w:ascii="仿宋" w:hAnsi="仿宋" w:eastAsia="仿宋" w:cs="仿宋"/>
          <w:sz w:val="32"/>
          <w:szCs w:val="32"/>
        </w:rPr>
      </w:pPr>
      <w:r>
        <w:rPr>
          <w:rFonts w:hint="eastAsia" w:ascii="仿宋" w:hAnsi="仿宋" w:eastAsia="仿宋" w:cs="仿宋"/>
          <w:sz w:val="32"/>
          <w:szCs w:val="32"/>
        </w:rPr>
        <w:t>　　2、加强进修培训。今年选派10名以上教师参加高端培训班学习，组织教学骨干赴先进党校进修学习，选派年轻教师到上级党校培训学习。</w:t>
      </w:r>
    </w:p>
    <w:p>
      <w:pPr>
        <w:pStyle w:val="2"/>
        <w:rPr>
          <w:rFonts w:hint="eastAsia" w:ascii="仿宋" w:hAnsi="仿宋" w:eastAsia="仿宋" w:cs="仿宋"/>
          <w:sz w:val="32"/>
          <w:szCs w:val="32"/>
        </w:rPr>
      </w:pPr>
      <w:r>
        <w:rPr>
          <w:rFonts w:hint="eastAsia" w:ascii="仿宋" w:hAnsi="仿宋" w:eastAsia="仿宋" w:cs="仿宋"/>
          <w:sz w:val="32"/>
          <w:szCs w:val="32"/>
        </w:rPr>
        <w:t>　　3、抓好“传帮带”。在教学专题准备、科研课题研究、开展社会调研等工作中，引导优秀老教师对年轻教师加强指导和帮助，特别是强化教研室主任的责任，确保年轻教师能够迅速成长起来，充实党校教学和科研队伍。</w:t>
      </w:r>
    </w:p>
    <w:p>
      <w:pPr>
        <w:pStyle w:val="2"/>
        <w:rPr>
          <w:rFonts w:hint="eastAsia" w:ascii="仿宋" w:hAnsi="仿宋" w:eastAsia="仿宋" w:cs="仿宋"/>
          <w:sz w:val="32"/>
          <w:szCs w:val="32"/>
        </w:rPr>
      </w:pPr>
      <w:r>
        <w:rPr>
          <w:rFonts w:hint="eastAsia" w:ascii="仿宋" w:hAnsi="仿宋" w:eastAsia="仿宋" w:cs="仿宋"/>
          <w:sz w:val="32"/>
          <w:szCs w:val="32"/>
        </w:rPr>
        <w:t>实现年度发展规划目标的保障措施</w:t>
      </w:r>
    </w:p>
    <w:p>
      <w:pPr>
        <w:pStyle w:val="2"/>
        <w:rPr>
          <w:rFonts w:hint="eastAsia" w:ascii="仿宋" w:hAnsi="仿宋" w:eastAsia="仿宋" w:cs="仿宋"/>
          <w:sz w:val="32"/>
          <w:szCs w:val="32"/>
        </w:rPr>
      </w:pPr>
      <w:r>
        <w:rPr>
          <w:rFonts w:hint="eastAsia" w:ascii="仿宋" w:hAnsi="仿宋" w:eastAsia="仿宋" w:cs="仿宋"/>
          <w:sz w:val="32"/>
          <w:szCs w:val="32"/>
        </w:rPr>
        <w:t>　　我校在完成正常干部培训工作的情况下，根据国家、省、市的安排部署，承担省委党校在职研究生教育，科研咨政任务，政策宣讲任务。为更好完成这些任务，我校采取如下措施：</w:t>
      </w:r>
    </w:p>
    <w:p>
      <w:pPr>
        <w:pStyle w:val="2"/>
        <w:rPr>
          <w:rFonts w:hint="eastAsia" w:ascii="仿宋" w:hAnsi="仿宋" w:eastAsia="仿宋" w:cs="仿宋"/>
          <w:sz w:val="32"/>
          <w:szCs w:val="32"/>
        </w:rPr>
      </w:pPr>
      <w:r>
        <w:rPr>
          <w:rFonts w:hint="eastAsia" w:ascii="仿宋" w:hAnsi="仿宋" w:eastAsia="仿宋" w:cs="仿宋"/>
          <w:sz w:val="32"/>
          <w:szCs w:val="32"/>
        </w:rPr>
        <w:t>一、在职研究生教育</w:t>
      </w:r>
    </w:p>
    <w:p>
      <w:pPr>
        <w:pStyle w:val="2"/>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1、加大投资力度。建设高标准电脑教室，改造升级多媒体教学装备，提高教学现代化水平。</w:t>
      </w:r>
    </w:p>
    <w:p>
      <w:pPr>
        <w:pStyle w:val="2"/>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2、加强精细管理。以精细化、制度化管理为目标，加大检查、督导力度，加强对行政后勤人员及临时工作人员的管理与岗位技能培训，全面提高服务质量，提升行政后勤保障能力。</w:t>
      </w:r>
    </w:p>
    <w:p>
      <w:pPr>
        <w:pStyle w:val="2"/>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3、美化校园环境。做好校园建设、美化、绿化、维护工作，创建园林式、花园式学校，保持省级园林单位称号，争创国家园林单位称号。</w:t>
      </w:r>
    </w:p>
    <w:p>
      <w:pPr>
        <w:pStyle w:val="2"/>
        <w:rPr>
          <w:rFonts w:hint="eastAsia" w:ascii="仿宋" w:hAnsi="仿宋" w:eastAsia="仿宋" w:cs="仿宋"/>
          <w:sz w:val="32"/>
          <w:szCs w:val="32"/>
        </w:rPr>
      </w:pPr>
      <w:r>
        <w:rPr>
          <w:rFonts w:hint="eastAsia" w:ascii="仿宋" w:hAnsi="仿宋" w:eastAsia="仿宋" w:cs="仿宋"/>
          <w:sz w:val="32"/>
          <w:szCs w:val="32"/>
        </w:rPr>
        <w:t>二、科研咨政任务。</w:t>
      </w:r>
    </w:p>
    <w:p>
      <w:pPr>
        <w:pStyle w:val="2"/>
        <w:rPr>
          <w:rFonts w:hint="eastAsia" w:ascii="仿宋" w:hAnsi="仿宋" w:eastAsia="仿宋" w:cs="仿宋"/>
          <w:sz w:val="32"/>
          <w:szCs w:val="32"/>
        </w:rPr>
      </w:pPr>
      <w:r>
        <w:rPr>
          <w:rFonts w:hint="eastAsia" w:ascii="仿宋" w:hAnsi="仿宋" w:eastAsia="仿宋" w:cs="仿宋"/>
          <w:sz w:val="32"/>
          <w:szCs w:val="32"/>
        </w:rPr>
        <w:t>　　1、组建邢台市情研究所。为进一步加强对邢台市情的调查研究，拟组建市情研究所。由常务副校长任所长，分管科研工作领导任副所长，选调骨干教师10－15名，分成2－3个研究小组，集中人力、物力等各种资源，在市委、市直各单位、各县（市、区）的支持下，全面深入地开展邢台市情调查研究，每年至少拿出3-5篇高质量的调研报告和决策参考。</w:t>
      </w:r>
    </w:p>
    <w:p>
      <w:pPr>
        <w:pStyle w:val="2"/>
        <w:rPr>
          <w:rFonts w:hint="eastAsia" w:ascii="仿宋" w:hAnsi="仿宋" w:eastAsia="仿宋" w:cs="仿宋"/>
          <w:sz w:val="32"/>
          <w:szCs w:val="32"/>
        </w:rPr>
      </w:pPr>
      <w:r>
        <w:rPr>
          <w:rFonts w:hint="eastAsia" w:ascii="仿宋" w:hAnsi="仿宋" w:eastAsia="仿宋" w:cs="仿宋"/>
          <w:sz w:val="32"/>
          <w:szCs w:val="32"/>
        </w:rPr>
        <w:t>　　2、进一步明确科研工作重点，加强科研工作的实用性。把加强市情研究，提供决策参考作为党校科研工作的重点，围绕市委、市政府中心工作，围绕我市经济社会发展的重点、热点问题，以应用对策性研究为主，深入开展社会调研，集中力量撰写高质量的调研报告，为市委、市政府科学决策提供参考。</w:t>
      </w:r>
    </w:p>
    <w:p>
      <w:pPr>
        <w:pStyle w:val="2"/>
        <w:rPr>
          <w:rFonts w:hint="eastAsia" w:ascii="仿宋" w:hAnsi="仿宋" w:eastAsia="仿宋" w:cs="仿宋"/>
          <w:sz w:val="32"/>
          <w:szCs w:val="32"/>
        </w:rPr>
      </w:pPr>
      <w:r>
        <w:rPr>
          <w:rFonts w:hint="eastAsia" w:ascii="仿宋" w:hAnsi="仿宋" w:eastAsia="仿宋" w:cs="仿宋"/>
          <w:sz w:val="32"/>
          <w:szCs w:val="32"/>
        </w:rPr>
        <w:t>　　3、不断改进科研工作方法，创造条件支持鼓励科研人员多到经济社会发展一线去。一方面加强与其他市直单位及县（市、区）合作，争取各方面的支持与配合。积极与“两办”、研究室等综合研究部门，发改委、工信局等职能单位沟通联系，参与或共同承担全市性的调查研究工作。另一方面健全科研激励约束机制，起草《科研工作量标准和科研成果资助办法》，加大科研资金配套力度，提高优秀科研成果奖励标准，引导科研人员提升研究层次和研究水平。</w:t>
      </w:r>
    </w:p>
    <w:p>
      <w:pPr>
        <w:pStyle w:val="2"/>
        <w:rPr>
          <w:rFonts w:hint="eastAsia" w:ascii="仿宋" w:hAnsi="仿宋" w:eastAsia="仿宋" w:cs="仿宋"/>
          <w:sz w:val="32"/>
          <w:szCs w:val="32"/>
        </w:rPr>
      </w:pPr>
      <w:r>
        <w:rPr>
          <w:rFonts w:hint="eastAsia" w:ascii="仿宋" w:hAnsi="仿宋" w:eastAsia="仿宋" w:cs="仿宋"/>
          <w:sz w:val="32"/>
          <w:szCs w:val="32"/>
        </w:rPr>
        <w:t>三、理论政策宣讲</w:t>
      </w:r>
    </w:p>
    <w:p>
      <w:pPr>
        <w:pStyle w:val="2"/>
        <w:rPr>
          <w:rFonts w:hint="eastAsia" w:ascii="仿宋" w:hAnsi="仿宋" w:eastAsia="仿宋" w:cs="仿宋"/>
          <w:sz w:val="32"/>
          <w:szCs w:val="32"/>
        </w:rPr>
      </w:pPr>
      <w:r>
        <w:rPr>
          <w:rFonts w:hint="eastAsia" w:ascii="仿宋" w:hAnsi="仿宋" w:eastAsia="仿宋" w:cs="仿宋"/>
          <w:sz w:val="32"/>
          <w:szCs w:val="32"/>
        </w:rPr>
        <w:t>　　1、注重基层锻炼。把了解掌握市情、民情，提高实践经验和宗旨意识做为培养年轻教职工的工作重点，结合正在开展的扶贫帮困“春雨行动”和党员志愿服务，组织年轻教职工经常到农村、社区中去，到经济社会发展一线去，到群众身边去。</w:t>
      </w:r>
    </w:p>
    <w:p>
      <w:pPr>
        <w:pStyle w:val="2"/>
        <w:rPr>
          <w:rFonts w:hint="eastAsia" w:ascii="仿宋" w:hAnsi="仿宋" w:eastAsia="仿宋" w:cs="仿宋"/>
          <w:sz w:val="32"/>
          <w:szCs w:val="32"/>
        </w:rPr>
      </w:pPr>
      <w:r>
        <w:rPr>
          <w:rFonts w:hint="eastAsia" w:ascii="仿宋" w:hAnsi="仿宋" w:eastAsia="仿宋" w:cs="仿宋"/>
          <w:sz w:val="32"/>
          <w:szCs w:val="32"/>
        </w:rPr>
        <w:t>　　2、完成市委组织部下达的培训任务，拟举办春、秋季培训班各1期，培训约200人；组织骨干教师深入县（市、区）和市直单位，重点就党的十八届五中全会精神、京津冀协同发展战略、解放思想大讨论等开展理论宣讲，拟宣讲60场次，参训人员5000人以上。</w:t>
      </w: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方正小标宋_GBK" w:eastAsia="方正小标宋_GBK"/>
          <w:sz w:val="32"/>
        </w:rPr>
      </w:pPr>
      <w:r>
        <w:rPr>
          <w:rFonts w:hint="eastAsia" w:ascii="仿宋" w:hAnsi="仿宋" w:eastAsia="仿宋" w:cs="仿宋"/>
          <w:sz w:val="32"/>
          <w:szCs w:val="32"/>
        </w:rPr>
        <w:t xml:space="preserve"> </w:t>
      </w:r>
      <w:bookmarkStart w:id="0" w:name="_Toc482000290"/>
      <w:r>
        <w:rPr>
          <w:rFonts w:hint="eastAsia" w:ascii="方正小标宋_GBK" w:eastAsia="方正小标宋_GBK"/>
          <w:sz w:val="32"/>
        </w:rPr>
        <w:t>部门职责-工作活动绩效目标</w:t>
      </w:r>
      <w:bookmarkEnd w:id="0"/>
    </w:p>
    <w:tbl>
      <w:tblPr>
        <w:tblStyle w:val="4"/>
        <w:tblW w:w="1360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6"/>
        <w:gridCol w:w="1246"/>
        <w:gridCol w:w="2906"/>
        <w:gridCol w:w="2906"/>
        <w:gridCol w:w="1383"/>
        <w:gridCol w:w="720"/>
        <w:gridCol w:w="719"/>
        <w:gridCol w:w="72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727"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109</w:t>
            </w:r>
            <w:r>
              <w:rPr>
                <w:rFonts w:hint="eastAsia" w:ascii="方正小标宋_GBK" w:eastAsia="方正小标宋_GBK"/>
                <w:sz w:val="24"/>
              </w:rPr>
              <w:t>邢台市委党校</w:t>
            </w:r>
          </w:p>
        </w:tc>
        <w:tc>
          <w:tcPr>
            <w:tcW w:w="2879"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2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0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0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8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79"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286" w:type="dxa"/>
            <w:vMerge w:val="continue"/>
            <w:shd w:val="clear" w:color="auto" w:fill="auto"/>
            <w:vAlign w:val="center"/>
          </w:tcPr>
          <w:p>
            <w:pPr>
              <w:spacing w:line="300" w:lineRule="exact"/>
              <w:jc w:val="left"/>
              <w:outlineLvl w:val="0"/>
            </w:pPr>
          </w:p>
        </w:tc>
        <w:tc>
          <w:tcPr>
            <w:tcW w:w="1246" w:type="dxa"/>
            <w:vMerge w:val="continue"/>
            <w:shd w:val="clear" w:color="auto" w:fill="auto"/>
            <w:vAlign w:val="center"/>
          </w:tcPr>
          <w:p>
            <w:pPr>
              <w:spacing w:line="300" w:lineRule="exact"/>
              <w:jc w:val="center"/>
              <w:outlineLvl w:val="0"/>
            </w:pPr>
          </w:p>
        </w:tc>
        <w:tc>
          <w:tcPr>
            <w:tcW w:w="2906" w:type="dxa"/>
            <w:vMerge w:val="continue"/>
            <w:shd w:val="clear" w:color="auto" w:fill="auto"/>
            <w:vAlign w:val="center"/>
          </w:tcPr>
          <w:p>
            <w:pPr>
              <w:spacing w:line="300" w:lineRule="exact"/>
              <w:jc w:val="left"/>
              <w:outlineLvl w:val="0"/>
            </w:pPr>
          </w:p>
        </w:tc>
        <w:tc>
          <w:tcPr>
            <w:tcW w:w="2906" w:type="dxa"/>
            <w:vMerge w:val="continue"/>
            <w:shd w:val="clear" w:color="auto" w:fill="auto"/>
            <w:vAlign w:val="center"/>
          </w:tcPr>
          <w:p>
            <w:pPr>
              <w:spacing w:line="300" w:lineRule="exact"/>
              <w:jc w:val="left"/>
              <w:outlineLvl w:val="0"/>
            </w:pPr>
          </w:p>
        </w:tc>
        <w:tc>
          <w:tcPr>
            <w:tcW w:w="1383" w:type="dxa"/>
            <w:vMerge w:val="continue"/>
            <w:shd w:val="clear" w:color="auto" w:fill="auto"/>
            <w:vAlign w:val="center"/>
          </w:tcPr>
          <w:p>
            <w:pPr>
              <w:spacing w:line="300" w:lineRule="exact"/>
              <w:jc w:val="left"/>
              <w:outlineLvl w:val="0"/>
            </w:pPr>
          </w:p>
        </w:tc>
        <w:tc>
          <w:tcPr>
            <w:tcW w:w="7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70" w:hRule="atLeast"/>
          <w:jc w:val="center"/>
        </w:trPr>
        <w:tc>
          <w:tcPr>
            <w:tcW w:w="228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lang w:val="en-US" w:eastAsia="zh-CN"/>
              </w:rPr>
              <w:t xml:space="preserve">    </w:t>
            </w:r>
            <w:r>
              <w:rPr>
                <w:rFonts w:hint="eastAsia" w:ascii="方正书宋_GBK" w:eastAsia="方正书宋_GBK"/>
                <w:b/>
              </w:rPr>
              <w:t>培训教育</w:t>
            </w:r>
          </w:p>
        </w:tc>
        <w:tc>
          <w:tcPr>
            <w:tcW w:w="1246" w:type="dxa"/>
            <w:vMerge w:val="restart"/>
            <w:shd w:val="clear" w:color="auto" w:fill="auto"/>
            <w:vAlign w:val="center"/>
          </w:tcPr>
          <w:p>
            <w:pPr>
              <w:spacing w:line="300" w:lineRule="exact"/>
              <w:jc w:val="center"/>
              <w:rPr>
                <w:rFonts w:ascii="方正书宋_GBK" w:eastAsia="方正书宋_GBK"/>
              </w:rPr>
            </w:pPr>
          </w:p>
        </w:tc>
        <w:tc>
          <w:tcPr>
            <w:tcW w:w="290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根据党中央、省委、市委关于建设高素质干部队伍的要求，有计划地培训、轮训高中级党员领导干部和宣传骨干；结合本市发展实际，以研讨中央重大理论和方针、政策问题为目的，举办各种专题研讨班</w:t>
            </w:r>
            <w:r>
              <w:rPr>
                <w:rFonts w:ascii="方正书宋_GBK" w:eastAsia="方正书宋_GBK"/>
              </w:rPr>
              <w:t>;</w:t>
            </w:r>
            <w:r>
              <w:rPr>
                <w:rFonts w:hint="eastAsia" w:ascii="方正书宋_GBK" w:eastAsia="方正书宋_GBK"/>
              </w:rPr>
              <w:t>利用教学资源进行干部短期培训</w:t>
            </w:r>
          </w:p>
        </w:tc>
        <w:tc>
          <w:tcPr>
            <w:tcW w:w="290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383" w:type="dxa"/>
            <w:tcBorders>
              <w:bottom w:val="single" w:color="auto" w:sz="4" w:space="0"/>
            </w:tcBorders>
            <w:shd w:val="clear" w:color="auto" w:fill="auto"/>
            <w:textDirection w:val="lrTb"/>
            <w:vAlign w:val="center"/>
          </w:tcPr>
          <w:p>
            <w:pPr>
              <w:spacing w:line="300" w:lineRule="exact"/>
              <w:jc w:val="left"/>
              <w:rPr>
                <w:rFonts w:ascii="方正书宋_GBK" w:eastAsia="方正书宋_GBK"/>
              </w:rPr>
            </w:pPr>
            <w:r>
              <w:rPr>
                <w:rFonts w:hint="eastAsia" w:ascii="方正书宋_GBK" w:eastAsia="方正书宋_GBK"/>
              </w:rPr>
              <w:t>委托单位满意率达到</w:t>
            </w:r>
            <w:r>
              <w:rPr>
                <w:rFonts w:ascii="方正书宋_GBK" w:eastAsia="方正书宋_GBK"/>
              </w:rPr>
              <w:t>80%</w:t>
            </w:r>
          </w:p>
        </w:tc>
        <w:tc>
          <w:tcPr>
            <w:tcW w:w="720" w:type="dxa"/>
            <w:tcBorders>
              <w:bottom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19" w:type="dxa"/>
            <w:tcBorders>
              <w:bottom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tcBorders>
              <w:bottom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20" w:type="dxa"/>
            <w:tcBorders>
              <w:bottom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35"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lang w:val="en-US" w:eastAsia="zh-CN"/>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tcBorders>
              <w:top w:val="single" w:color="auto" w:sz="4" w:space="0"/>
              <w:bottom w:val="single" w:color="auto" w:sz="4" w:space="0"/>
            </w:tcBorders>
            <w:shd w:val="clear" w:color="auto" w:fill="auto"/>
            <w:textDirection w:val="lrTb"/>
            <w:vAlign w:val="center"/>
          </w:tcPr>
          <w:p>
            <w:pPr>
              <w:spacing w:line="300" w:lineRule="exact"/>
              <w:jc w:val="left"/>
              <w:rPr>
                <w:rFonts w:ascii="方正书宋_GBK" w:eastAsia="方正书宋_GBK"/>
              </w:rPr>
            </w:pPr>
            <w:r>
              <w:rPr>
                <w:rFonts w:hint="eastAsia" w:ascii="方正书宋_GBK" w:eastAsia="方正书宋_GBK"/>
              </w:rPr>
              <w:t>学员教学满意率达到</w:t>
            </w:r>
            <w:r>
              <w:rPr>
                <w:rFonts w:ascii="方正书宋_GBK" w:eastAsia="方正书宋_GBK"/>
              </w:rPr>
              <w:t>85%</w:t>
            </w:r>
          </w:p>
        </w:tc>
        <w:tc>
          <w:tcPr>
            <w:tcW w:w="720" w:type="dxa"/>
            <w:tcBorders>
              <w:top w:val="single" w:color="auto" w:sz="4" w:space="0"/>
              <w:bottom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19" w:type="dxa"/>
            <w:tcBorders>
              <w:top w:val="single" w:color="auto" w:sz="4" w:space="0"/>
              <w:bottom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tcBorders>
              <w:top w:val="single" w:color="auto" w:sz="4" w:space="0"/>
              <w:bottom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20" w:type="dxa"/>
            <w:tcBorders>
              <w:top w:val="single" w:color="auto" w:sz="4" w:space="0"/>
              <w:bottom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5"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lang w:val="en-US" w:eastAsia="zh-CN"/>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tcBorders>
              <w:top w:val="single" w:color="auto" w:sz="4" w:space="0"/>
            </w:tcBorders>
            <w:shd w:val="clear" w:color="auto" w:fill="auto"/>
            <w:textDirection w:val="lrTb"/>
            <w:vAlign w:val="center"/>
          </w:tcPr>
          <w:p>
            <w:pPr>
              <w:spacing w:line="300" w:lineRule="exact"/>
              <w:jc w:val="left"/>
              <w:rPr>
                <w:rFonts w:ascii="方正书宋_GBK" w:eastAsia="方正书宋_GBK"/>
              </w:rPr>
            </w:pPr>
            <w:r>
              <w:rPr>
                <w:rFonts w:hint="eastAsia" w:ascii="方正书宋_GBK" w:eastAsia="方正书宋_GBK"/>
              </w:rPr>
              <w:t>培训、轮训工作完成率达到</w:t>
            </w:r>
            <w:r>
              <w:rPr>
                <w:rFonts w:ascii="方正书宋_GBK" w:eastAsia="方正书宋_GBK"/>
              </w:rPr>
              <w:t>100%</w:t>
            </w:r>
          </w:p>
        </w:tc>
        <w:tc>
          <w:tcPr>
            <w:tcW w:w="720" w:type="dxa"/>
            <w:tcBorders>
              <w:top w:val="single" w:color="auto" w:sz="4" w:space="0"/>
            </w:tcBorders>
            <w:shd w:val="clear" w:color="auto" w:fill="auto"/>
            <w:textDirection w:val="lrTb"/>
            <w:vAlign w:val="center"/>
          </w:tcPr>
          <w:p>
            <w:pPr>
              <w:spacing w:line="300" w:lineRule="exact"/>
              <w:jc w:val="center"/>
              <w:rPr>
                <w:rFonts w:ascii="方正书宋_GBK" w:eastAsia="方正书宋_GBK"/>
              </w:rPr>
            </w:pPr>
            <w:r>
              <w:rPr>
                <w:rFonts w:ascii="方正书宋_GBK" w:eastAsia="方正书宋_GBK"/>
              </w:rPr>
              <w:t>100%</w:t>
            </w:r>
          </w:p>
        </w:tc>
        <w:tc>
          <w:tcPr>
            <w:tcW w:w="719" w:type="dxa"/>
            <w:tcBorders>
              <w:top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20" w:type="dxa"/>
            <w:tcBorders>
              <w:top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tcBorders>
              <w:top w:val="single" w:color="auto" w:sz="4" w:space="0"/>
            </w:tcBorders>
            <w:shd w:val="clear" w:color="auto" w:fill="auto"/>
            <w:textDirection w:val="lrTb"/>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组织培训班</w:t>
            </w:r>
          </w:p>
        </w:tc>
        <w:tc>
          <w:tcPr>
            <w:tcW w:w="1246"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lang w:val="en-US" w:eastAsia="zh-CN"/>
              </w:rPr>
              <w:t>4</w:t>
            </w:r>
            <w:r>
              <w:rPr>
                <w:rFonts w:ascii="方正书宋_GBK" w:eastAsia="方正书宋_GBK"/>
              </w:rPr>
              <w:t>0.00</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根据市委组织部的干训计划，培训、轮训领导干部和理论骨干；受市委、市政府及有关职能部门委托，结合本市发展实际，举办各种专题培训、研讨班。</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通过外请专家学者授课，开拓学员思路；通过现场教学、情景教学、案例教学、西柏坡特色教学，有效提高培训质量，提高学员解决实际问题的能力。</w:t>
            </w:r>
          </w:p>
        </w:tc>
        <w:tc>
          <w:tcPr>
            <w:tcW w:w="13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委托单位满意率达到</w:t>
            </w:r>
            <w:r>
              <w:rPr>
                <w:rFonts w:ascii="方正书宋_GBK" w:eastAsia="方正书宋_GBK"/>
              </w:rPr>
              <w:t>80%</w:t>
            </w:r>
          </w:p>
        </w:tc>
        <w:tc>
          <w:tcPr>
            <w:tcW w:w="7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1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学员教学满意率达到</w:t>
            </w:r>
            <w:r>
              <w:rPr>
                <w:rFonts w:ascii="方正书宋_GBK" w:eastAsia="方正书宋_GBK"/>
              </w:rPr>
              <w:t>85%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培训、轮训工作完成率达到</w:t>
            </w:r>
            <w:r>
              <w:rPr>
                <w:rFonts w:ascii="方正书宋_GBK" w:eastAsia="方正书宋_GBK"/>
              </w:rPr>
              <w:t>100%</w:t>
            </w:r>
          </w:p>
        </w:tc>
        <w:tc>
          <w:tcPr>
            <w:tcW w:w="720"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45"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特色教学达到</w:t>
            </w:r>
            <w:r>
              <w:rPr>
                <w:rFonts w:ascii="方正书宋_GBK" w:eastAsia="方正书宋_GBK"/>
              </w:rPr>
              <w:t>30%</w:t>
            </w:r>
          </w:p>
        </w:tc>
        <w:tc>
          <w:tcPr>
            <w:tcW w:w="7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开办研究生学历班</w:t>
            </w:r>
          </w:p>
        </w:tc>
        <w:tc>
          <w:tcPr>
            <w:tcW w:w="1246" w:type="dxa"/>
            <w:vMerge w:val="restart"/>
            <w:shd w:val="clear" w:color="auto" w:fill="auto"/>
            <w:vAlign w:val="center"/>
          </w:tcPr>
          <w:p>
            <w:pPr>
              <w:spacing w:line="300" w:lineRule="exact"/>
              <w:jc w:val="center"/>
              <w:rPr>
                <w:rFonts w:ascii="方正书宋_GBK" w:eastAsia="方正书宋_GBK"/>
              </w:rPr>
            </w:pP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办好省委党校脱产研究生学历教育和在职研究生学历教育</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通过办好不同形式的研究生学历教育，满足不同层次干部对学历方面的需求。</w:t>
            </w: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在读学员满意率达到</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学员单位满意率达到</w:t>
            </w:r>
            <w:r>
              <w:rPr>
                <w:rFonts w:ascii="方正书宋_GBK" w:eastAsia="方正书宋_GBK"/>
              </w:rPr>
              <w:t>80%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学员毕业率达到</w:t>
            </w:r>
            <w:r>
              <w:rPr>
                <w:rFonts w:ascii="方正书宋_GBK" w:eastAsia="方正书宋_GBK"/>
              </w:rPr>
              <w:t>100%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师资与学科建设</w:t>
            </w:r>
          </w:p>
        </w:tc>
        <w:tc>
          <w:tcPr>
            <w:tcW w:w="1246" w:type="dxa"/>
            <w:vMerge w:val="restart"/>
            <w:shd w:val="clear" w:color="auto" w:fill="auto"/>
            <w:vAlign w:val="center"/>
          </w:tcPr>
          <w:p>
            <w:pPr>
              <w:spacing w:line="300" w:lineRule="exact"/>
              <w:jc w:val="center"/>
              <w:rPr>
                <w:rFonts w:hint="eastAsia" w:ascii="方正书宋_GBK" w:eastAsia="方正书宋_GBK"/>
                <w:lang w:val="en-US" w:eastAsia="zh-CN"/>
              </w:rPr>
            </w:pPr>
            <w:r>
              <w:rPr>
                <w:rFonts w:ascii="方正书宋_GBK" w:eastAsia="方正书宋_GBK"/>
              </w:rPr>
              <w:t>20.00</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加强师资培训、交流、培养，引进高水平人才，加强学科建设和学科培育，形成有党校特色的优势学科、重点学科和教学基地。</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通过重点培育和建设，形成几门有党校特色的优势学科和重点学科。</w:t>
            </w: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党校特色教材教案比率达到</w:t>
            </w:r>
            <w:r>
              <w:rPr>
                <w:rFonts w:ascii="方正书宋_GBK" w:eastAsia="方正书宋_GBK"/>
              </w:rPr>
              <w:t>50%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培训满意度达到</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特色优势学科门数达到</w:t>
            </w:r>
            <w:r>
              <w:rPr>
                <w:rFonts w:ascii="方正书宋_GBK" w:eastAsia="方正书宋_GBK"/>
              </w:rPr>
              <w:t>3-4</w:t>
            </w:r>
            <w:r>
              <w:rPr>
                <w:rFonts w:hint="eastAsia" w:ascii="方正书宋_GBK" w:eastAsia="方正书宋_GBK"/>
              </w:rPr>
              <w:t>门</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门</w:t>
            </w:r>
          </w:p>
        </w:tc>
        <w:tc>
          <w:tcPr>
            <w:tcW w:w="719"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w:t>
            </w:r>
            <w:r>
              <w:rPr>
                <w:rFonts w:hint="eastAsia" w:ascii="方正书宋_GBK" w:eastAsia="方正书宋_GBK"/>
              </w:rPr>
              <w:t>门</w:t>
            </w:r>
          </w:p>
        </w:tc>
        <w:tc>
          <w:tcPr>
            <w:tcW w:w="720"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r>
              <w:rPr>
                <w:rFonts w:hint="eastAsia" w:ascii="方正书宋_GBK" w:eastAsia="方正书宋_GBK"/>
              </w:rPr>
              <w:t>门</w:t>
            </w:r>
          </w:p>
        </w:tc>
        <w:tc>
          <w:tcPr>
            <w:tcW w:w="720"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r>
              <w:rPr>
                <w:rFonts w:hint="eastAsia" w:ascii="方正书宋_GBK" w:eastAsia="方正书宋_GBK"/>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30"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教师培训进修比率达到</w:t>
            </w:r>
            <w:r>
              <w:rPr>
                <w:rFonts w:ascii="方正书宋_GBK" w:eastAsia="方正书宋_GBK"/>
              </w:rPr>
              <w:t>70%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1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教学事物管理</w:t>
            </w:r>
          </w:p>
        </w:tc>
        <w:tc>
          <w:tcPr>
            <w:tcW w:w="1246"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组织实施与教学活动和学员培训相关的综合管理和后勤保障事物</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通过严格的行政后勤管理，为学员培训和教学科研活动创造良好的硬件环境和后勤保障</w:t>
            </w: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受训学员后勤管理综合满意率达到</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后勤大型设备完好率达到</w:t>
            </w:r>
            <w:r>
              <w:rPr>
                <w:rFonts w:ascii="方正书宋_GBK" w:eastAsia="方正书宋_GBK"/>
              </w:rPr>
              <w:t>100%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00"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后勤保障事务完成率达到</w:t>
            </w:r>
            <w:r>
              <w:rPr>
                <w:rFonts w:ascii="方正书宋_GBK" w:eastAsia="方正书宋_GBK"/>
              </w:rPr>
              <w:t>100%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30" w:hRule="atLeast"/>
          <w:jc w:val="center"/>
        </w:trPr>
        <w:tc>
          <w:tcPr>
            <w:tcW w:w="2286"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理论研究和决策咨询</w:t>
            </w:r>
          </w:p>
        </w:tc>
        <w:tc>
          <w:tcPr>
            <w:tcW w:w="1246"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28.00</w:t>
            </w:r>
          </w:p>
        </w:tc>
        <w:tc>
          <w:tcPr>
            <w:tcW w:w="29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开展对马克思主义中国化最新成果、本市重大现实问题及战略问题的研究，为推进党的理论创新服务，为市委、市政府及有关部门决策咨询服务</w:t>
            </w:r>
          </w:p>
        </w:tc>
        <w:tc>
          <w:tcPr>
            <w:tcW w:w="29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tc>
        <w:tc>
          <w:tcPr>
            <w:tcW w:w="1383" w:type="dxa"/>
            <w:shd w:val="clear" w:color="auto" w:fill="auto"/>
            <w:vAlign w:val="center"/>
          </w:tcPr>
          <w:p>
            <w:pPr>
              <w:spacing w:line="300" w:lineRule="exact"/>
              <w:jc w:val="left"/>
              <w:rPr>
                <w:rFonts w:hint="eastAsia" w:ascii="方正书宋_GBK" w:eastAsia="方正书宋_GBK"/>
              </w:rPr>
            </w:pPr>
          </w:p>
        </w:tc>
        <w:tc>
          <w:tcPr>
            <w:tcW w:w="720" w:type="dxa"/>
            <w:shd w:val="clear" w:color="auto" w:fill="auto"/>
            <w:vAlign w:val="center"/>
          </w:tcPr>
          <w:p>
            <w:pPr>
              <w:spacing w:line="300" w:lineRule="exact"/>
              <w:jc w:val="center"/>
              <w:rPr>
                <w:rFonts w:hint="eastAsia" w:ascii="方正书宋_GBK" w:eastAsia="方正书宋_GBK"/>
              </w:rPr>
            </w:pPr>
          </w:p>
        </w:tc>
        <w:tc>
          <w:tcPr>
            <w:tcW w:w="719" w:type="dxa"/>
            <w:shd w:val="clear" w:color="auto" w:fill="auto"/>
            <w:vAlign w:val="center"/>
          </w:tcPr>
          <w:p>
            <w:pPr>
              <w:spacing w:line="300" w:lineRule="exact"/>
              <w:jc w:val="center"/>
              <w:rPr>
                <w:rFonts w:hint="eastAsia" w:ascii="方正书宋_GBK" w:eastAsia="方正书宋_GBK"/>
              </w:rPr>
            </w:pPr>
          </w:p>
        </w:tc>
        <w:tc>
          <w:tcPr>
            <w:tcW w:w="720" w:type="dxa"/>
            <w:shd w:val="clear" w:color="auto" w:fill="auto"/>
            <w:vAlign w:val="center"/>
          </w:tcPr>
          <w:p>
            <w:pPr>
              <w:spacing w:line="300" w:lineRule="exact"/>
              <w:jc w:val="center"/>
              <w:rPr>
                <w:rFonts w:hint="eastAsia" w:ascii="方正书宋_GBK" w:eastAsia="方正书宋_GBK"/>
              </w:rPr>
            </w:pPr>
          </w:p>
        </w:tc>
        <w:tc>
          <w:tcPr>
            <w:tcW w:w="720"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理论研究</w:t>
            </w:r>
          </w:p>
        </w:tc>
        <w:tc>
          <w:tcPr>
            <w:tcW w:w="1246" w:type="dxa"/>
            <w:vMerge w:val="restart"/>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20.00</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对优秀科研成果和成绩突出的优秀科研人才进行定项资助。宣传党和国家的路线方针政策，刊发决策咨询、教学培训、理论研究成果，推进理论和实践创新。</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以科研刊物为平台，推动教研人员的科研交流和理论探索，产出高质量的理论成果。</w:t>
            </w: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科研课题评估优秀率达到</w:t>
            </w:r>
            <w:r>
              <w:rPr>
                <w:rFonts w:ascii="方正书宋_GBK" w:eastAsia="方正书宋_GBK"/>
              </w:rPr>
              <w:t>25%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科研课题立项数达到</w:t>
            </w:r>
            <w:r>
              <w:rPr>
                <w:rFonts w:ascii="方正书宋_GBK" w:eastAsia="方正书宋_GBK"/>
              </w:rPr>
              <w:t>20</w:t>
            </w:r>
            <w:r>
              <w:rPr>
                <w:rFonts w:hint="eastAsia" w:ascii="方正书宋_GBK" w:eastAsia="方正书宋_GBK"/>
              </w:rPr>
              <w:t>项</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项</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项</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项</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8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科研刊物辑印期数达到</w:t>
            </w:r>
            <w:r>
              <w:rPr>
                <w:rFonts w:ascii="方正书宋_GBK" w:eastAsia="方正书宋_GBK"/>
              </w:rPr>
              <w:t>4</w:t>
            </w:r>
            <w:r>
              <w:rPr>
                <w:rFonts w:hint="eastAsia" w:ascii="方正书宋_GBK" w:eastAsia="方正书宋_GBK"/>
              </w:rPr>
              <w:t>期</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期</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期</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期</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决策咨询和政策宣讲</w:t>
            </w:r>
          </w:p>
        </w:tc>
        <w:tc>
          <w:tcPr>
            <w:tcW w:w="1246" w:type="dxa"/>
            <w:vMerge w:val="restart"/>
            <w:shd w:val="clear" w:color="auto" w:fill="auto"/>
            <w:vAlign w:val="center"/>
          </w:tcPr>
          <w:p>
            <w:pPr>
              <w:spacing w:line="300" w:lineRule="exact"/>
              <w:jc w:val="center"/>
              <w:rPr>
                <w:rFonts w:ascii="方正书宋_GBK" w:eastAsia="方正书宋_GBK"/>
              </w:rPr>
            </w:pP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承担市领导交办的调研任务，围绕市委市政府中心工作，开展决策咨询研究；组织有关领导、教师到各地市及相关部门进行政策宣讲。</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通过决策咨询研究，设立一批有质量的决策咨询服务项目，拿出一批优秀的决策咨询成果，为领导决策咨询服务，发挥思想库和主智囊团的作用。</w:t>
            </w: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决策咨询研究工作完成率达到</w:t>
            </w:r>
            <w:r>
              <w:rPr>
                <w:rFonts w:ascii="方正书宋_GBK" w:eastAsia="方正书宋_GBK"/>
              </w:rPr>
              <w:t>95%</w:t>
            </w:r>
          </w:p>
        </w:tc>
        <w:tc>
          <w:tcPr>
            <w:tcW w:w="720"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宣讲满意度达到</w:t>
            </w:r>
            <w:r>
              <w:rPr>
                <w:rFonts w:ascii="方正书宋_GBK" w:eastAsia="方正书宋_GBK"/>
              </w:rPr>
              <w:t>90%</w:t>
            </w:r>
          </w:p>
        </w:tc>
        <w:tc>
          <w:tcPr>
            <w:tcW w:w="7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对外宣讲次数大于</w:t>
            </w:r>
            <w:r>
              <w:rPr>
                <w:rFonts w:ascii="方正书宋_GBK" w:eastAsia="方正书宋_GBK"/>
              </w:rPr>
              <w:t>10</w:t>
            </w:r>
            <w:r>
              <w:rPr>
                <w:rFonts w:hint="eastAsia" w:ascii="方正书宋_GBK" w:eastAsia="方正书宋_GBK"/>
              </w:rPr>
              <w:t>次</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次</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市领导参阅的《决策参考》编印报送数量达到</w:t>
            </w:r>
            <w:r>
              <w:rPr>
                <w:rFonts w:ascii="方正书宋_GBK" w:eastAsia="方正书宋_GBK"/>
              </w:rPr>
              <w:t>10</w:t>
            </w:r>
            <w:r>
              <w:rPr>
                <w:rFonts w:hint="eastAsia" w:ascii="方正书宋_GBK" w:eastAsia="方正书宋_GBK"/>
              </w:rPr>
              <w:t>项</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项</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项</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项</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center"/>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送教下县次数大于</w:t>
            </w:r>
            <w:r>
              <w:rPr>
                <w:rFonts w:ascii="方正书宋_GBK" w:eastAsia="方正书宋_GBK"/>
              </w:rPr>
              <w:t>10</w:t>
            </w:r>
            <w:r>
              <w:rPr>
                <w:rFonts w:hint="eastAsia" w:ascii="方正书宋_GBK" w:eastAsia="方正书宋_GBK"/>
              </w:rPr>
              <w:t>次</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次</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行政后勤管理</w:t>
            </w:r>
          </w:p>
        </w:tc>
        <w:tc>
          <w:tcPr>
            <w:tcW w:w="1246"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135.00</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组织实施与教学活动、学员培训、科研等相关的综合管理和后勤保障事务。</w:t>
            </w:r>
          </w:p>
        </w:tc>
        <w:tc>
          <w:tcPr>
            <w:tcW w:w="290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通过有效的行政后勤管理，完善教学设施和服务网络，提高保障水平，促进教学科研活动和学员培训水平的提高</w:t>
            </w: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教学设施的完善水平达到</w:t>
            </w:r>
            <w:r>
              <w:rPr>
                <w:rFonts w:ascii="方正书宋_GBK" w:eastAsia="方正书宋_GBK"/>
              </w:rPr>
              <w:t>95%</w:t>
            </w:r>
          </w:p>
        </w:tc>
        <w:tc>
          <w:tcPr>
            <w:tcW w:w="720"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left"/>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全校信息化程度达到</w:t>
            </w:r>
            <w:r>
              <w:rPr>
                <w:rFonts w:ascii="方正书宋_GBK" w:eastAsia="方正书宋_GBK"/>
              </w:rPr>
              <w:t>100%</w:t>
            </w:r>
          </w:p>
        </w:tc>
        <w:tc>
          <w:tcPr>
            <w:tcW w:w="7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86" w:type="dxa"/>
            <w:vMerge w:val="continue"/>
            <w:shd w:val="clear" w:color="auto" w:fill="auto"/>
            <w:vAlign w:val="center"/>
          </w:tcPr>
          <w:p>
            <w:pPr>
              <w:spacing w:line="300" w:lineRule="exact"/>
              <w:jc w:val="left"/>
              <w:rPr>
                <w:rFonts w:hint="eastAsia" w:ascii="方正书宋_GBK" w:eastAsia="方正书宋_GBK"/>
                <w:b/>
              </w:rPr>
            </w:pPr>
          </w:p>
        </w:tc>
        <w:tc>
          <w:tcPr>
            <w:tcW w:w="1246" w:type="dxa"/>
            <w:vMerge w:val="continue"/>
            <w:shd w:val="clear" w:color="auto" w:fill="auto"/>
            <w:vAlign w:val="center"/>
          </w:tcPr>
          <w:p>
            <w:pPr>
              <w:spacing w:line="300" w:lineRule="exact"/>
              <w:jc w:val="left"/>
              <w:rPr>
                <w:rFonts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2906" w:type="dxa"/>
            <w:vMerge w:val="continue"/>
            <w:shd w:val="clear" w:color="auto" w:fill="auto"/>
            <w:vAlign w:val="center"/>
          </w:tcPr>
          <w:p>
            <w:pPr>
              <w:spacing w:line="300" w:lineRule="exact"/>
              <w:jc w:val="left"/>
              <w:rPr>
                <w:rFonts w:hint="eastAsia" w:ascii="方正书宋_GBK" w:eastAsia="方正书宋_GBK"/>
              </w:rPr>
            </w:pPr>
          </w:p>
        </w:tc>
        <w:tc>
          <w:tcPr>
            <w:tcW w:w="138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教学部门的满意度达到</w:t>
            </w:r>
            <w:r>
              <w:rPr>
                <w:rFonts w:ascii="方正书宋_GBK" w:eastAsia="方正书宋_GBK"/>
              </w:rPr>
              <w:t>100%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1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bl>
    <w:p>
      <w:pPr>
        <w:autoSpaceDE w:val="0"/>
        <w:autoSpaceDN w:val="0"/>
        <w:rPr>
          <w:rFonts w:hint="eastAsia" w:ascii="黑体" w:hAnsi="黑体" w:eastAsia="黑体"/>
          <w:color w:val="000000"/>
          <w:sz w:val="32"/>
        </w:rPr>
      </w:pPr>
      <w:r>
        <w:rPr>
          <w:rFonts w:hint="eastAsia" w:ascii="黑体" w:hAnsi="黑体" w:eastAsia="黑体"/>
          <w:color w:val="000000"/>
          <w:sz w:val="32"/>
        </w:rPr>
        <w:t>六、政府采购预算情况</w:t>
      </w:r>
    </w:p>
    <w:p>
      <w:pPr>
        <w:spacing w:line="300" w:lineRule="exact"/>
        <w:ind w:firstLine="640"/>
        <w:jc w:val="left"/>
        <w:outlineLvl w:val="0"/>
        <w:rPr>
          <w:rFonts w:hint="eastAsia" w:ascii="仿宋_GB2312" w:hAnsi="仿宋_GB2312" w:eastAsia="仿宋_GB2312"/>
          <w:color w:val="000000"/>
          <w:sz w:val="32"/>
        </w:rPr>
      </w:pPr>
      <w:r>
        <w:rPr>
          <w:rFonts w:hint="eastAsia" w:ascii="仿宋_GB2312" w:hAnsi="仿宋_GB2312" w:eastAsia="仿宋_GB2312"/>
          <w:color w:val="000000"/>
          <w:sz w:val="32"/>
        </w:rPr>
        <w:t>2017年，我</w:t>
      </w:r>
      <w:r>
        <w:rPr>
          <w:rFonts w:hint="eastAsia" w:ascii="仿宋_GB2312" w:hAnsi="仿宋_GB2312" w:eastAsia="仿宋_GB2312"/>
          <w:color w:val="000000"/>
          <w:sz w:val="32"/>
          <w:lang w:eastAsia="zh-CN"/>
        </w:rPr>
        <w:t>校无</w:t>
      </w:r>
      <w:r>
        <w:rPr>
          <w:rFonts w:hint="eastAsia" w:ascii="仿宋_GB2312" w:hAnsi="仿宋_GB2312" w:eastAsia="仿宋_GB2312"/>
          <w:color w:val="000000"/>
          <w:sz w:val="32"/>
        </w:rPr>
        <w:t>安排政府采购预算。</w:t>
      </w:r>
    </w:p>
    <w:p>
      <w:pPr>
        <w:spacing w:line="300" w:lineRule="exact"/>
        <w:jc w:val="left"/>
        <w:outlineLvl w:val="0"/>
        <w:rPr>
          <w:rFonts w:hint="eastAsia" w:ascii="仿宋_GB2312" w:hAnsi="仿宋_GB2312" w:eastAsia="仿宋_GB2312"/>
          <w:color w:val="000000"/>
          <w:sz w:val="32"/>
        </w:rPr>
      </w:pPr>
    </w:p>
    <w:p>
      <w:pPr>
        <w:autoSpaceDE w:val="0"/>
        <w:autoSpaceDN w:val="0"/>
        <w:rPr>
          <w:rFonts w:hint="eastAsia" w:ascii="黑体" w:hAnsi="黑体" w:eastAsia="黑体"/>
          <w:bCs/>
          <w:color w:val="000000"/>
          <w:sz w:val="32"/>
        </w:rPr>
      </w:pPr>
      <w:r>
        <w:rPr>
          <w:rFonts w:hint="eastAsia" w:ascii="黑体" w:hAnsi="黑体" w:eastAsia="黑体"/>
          <w:bCs/>
          <w:color w:val="000000"/>
          <w:sz w:val="32"/>
        </w:rPr>
        <w:t>七、国有资产信息</w:t>
      </w:r>
    </w:p>
    <w:p>
      <w:pPr>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val="en-US" w:eastAsia="zh-CN"/>
        </w:rPr>
        <w:t xml:space="preserve"> 市委党校</w:t>
      </w:r>
      <w:r>
        <w:rPr>
          <w:rFonts w:hint="eastAsia" w:ascii="仿宋_GB2312" w:hAnsi="仿宋_GB2312" w:eastAsia="仿宋_GB2312"/>
          <w:color w:val="000000"/>
          <w:sz w:val="32"/>
        </w:rPr>
        <w:t>上年末固定资产金额为6498</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61万元</w:t>
      </w:r>
      <w:r>
        <w:rPr>
          <w:rFonts w:hint="eastAsia" w:ascii="仿宋_GB2312" w:hAnsi="仿宋_GB2312" w:eastAsia="仿宋_GB2312"/>
          <w:color w:val="000000"/>
          <w:sz w:val="32"/>
          <w:lang w:eastAsia="zh-CN"/>
        </w:rPr>
        <w:t>。</w:t>
      </w:r>
    </w:p>
    <w:tbl>
      <w:tblPr>
        <w:tblStyle w:val="4"/>
        <w:tblW w:w="13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2256"/>
        <w:gridCol w:w="2257"/>
        <w:gridCol w:w="4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13540" w:type="dxa"/>
            <w:gridSpan w:val="4"/>
            <w:vAlign w:val="top"/>
          </w:tcPr>
          <w:p>
            <w:pPr>
              <w:autoSpaceDE w:val="0"/>
              <w:autoSpaceDN w:val="0"/>
              <w:ind w:left="0" w:leftChars="0" w:right="0" w:rightChars="0" w:firstLine="0" w:firstLineChars="0"/>
              <w:jc w:val="center"/>
              <w:rPr>
                <w:rFonts w:hint="eastAsia" w:ascii="仿宋_GB2312" w:hAnsi="仿宋_GB2312" w:eastAsia="仿宋_GB2312"/>
                <w:color w:val="000000"/>
                <w:sz w:val="24"/>
              </w:rPr>
            </w:pPr>
            <w:r>
              <w:rPr>
                <w:rFonts w:hint="eastAsia" w:ascii="仿宋_GB2312" w:hAnsi="仿宋_GB2312" w:eastAsia="仿宋_GB2312"/>
                <w:color w:val="000000"/>
                <w:sz w:val="24"/>
              </w:rPr>
              <w:t>邢台</w:t>
            </w:r>
            <w:r>
              <w:rPr>
                <w:rFonts w:hint="eastAsia" w:ascii="仿宋_GB2312" w:hAnsi="仿宋_GB2312" w:eastAsia="仿宋_GB2312"/>
                <w:color w:val="000000"/>
                <w:sz w:val="24"/>
                <w:lang w:eastAsia="zh-CN"/>
              </w:rPr>
              <w:t>市委党校</w:t>
            </w:r>
            <w:r>
              <w:rPr>
                <w:rFonts w:hint="eastAsia" w:ascii="仿宋_GB2312" w:hAnsi="仿宋_GB2312" w:eastAsia="仿宋_GB2312"/>
                <w:color w:val="000000"/>
                <w:sz w:val="24"/>
              </w:rPr>
              <w:t>固定资产占用情况表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6769" w:type="dxa"/>
            <w:gridSpan w:val="2"/>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编制部门：邢台市财政局 </w:t>
            </w:r>
          </w:p>
        </w:tc>
        <w:tc>
          <w:tcPr>
            <w:tcW w:w="6771" w:type="dxa"/>
            <w:gridSpan w:val="2"/>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截止时间：2016年12月31日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项 目 </w:t>
            </w:r>
          </w:p>
        </w:tc>
        <w:tc>
          <w:tcPr>
            <w:tcW w:w="4513" w:type="dxa"/>
            <w:gridSpan w:val="2"/>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数量 </w:t>
            </w:r>
          </w:p>
        </w:tc>
        <w:tc>
          <w:tcPr>
            <w:tcW w:w="4514" w:type="dxa"/>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价值（金额单位：万元）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资产总额 </w:t>
            </w:r>
          </w:p>
        </w:tc>
        <w:tc>
          <w:tcPr>
            <w:tcW w:w="4513" w:type="dxa"/>
            <w:gridSpan w:val="2"/>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 </w:t>
            </w:r>
          </w:p>
        </w:tc>
        <w:tc>
          <w:tcPr>
            <w:tcW w:w="4514" w:type="dxa"/>
            <w:vAlign w:val="top"/>
          </w:tcPr>
          <w:p>
            <w:pPr>
              <w:autoSpaceDE w:val="0"/>
              <w:autoSpaceDN w:val="0"/>
              <w:rPr>
                <w:rFonts w:hint="eastAsia" w:ascii="仿宋_GB2312" w:hAnsi="仿宋_GB2312" w:eastAsia="仿宋_GB2312"/>
                <w:color w:val="000000"/>
                <w:sz w:val="24"/>
                <w:lang w:eastAsia="zh-CN"/>
              </w:rPr>
            </w:pPr>
            <w:r>
              <w:rPr>
                <w:rFonts w:hint="eastAsia" w:ascii="仿宋_GB2312" w:hAnsi="仿宋_GB2312" w:eastAsia="仿宋_GB2312"/>
                <w:color w:val="000000"/>
                <w:sz w:val="24"/>
                <w:lang w:val="en-US" w:eastAsia="zh-CN"/>
              </w:rPr>
              <w:t>6498.61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1、房屋（平方米） </w:t>
            </w:r>
          </w:p>
        </w:tc>
        <w:tc>
          <w:tcPr>
            <w:tcW w:w="4513" w:type="dxa"/>
            <w:gridSpan w:val="2"/>
            <w:vAlign w:val="top"/>
          </w:tcPr>
          <w:p>
            <w:pPr>
              <w:autoSpaceDE w:val="0"/>
              <w:autoSpaceDN w:val="0"/>
              <w:rPr>
                <w:rFonts w:hint="eastAsia" w:ascii="仿宋_GB2312" w:hAnsi="仿宋_GB2312" w:eastAsia="仿宋_GB2312"/>
                <w:color w:val="000000"/>
                <w:sz w:val="24"/>
              </w:rPr>
            </w:pPr>
          </w:p>
        </w:tc>
        <w:tc>
          <w:tcPr>
            <w:tcW w:w="4514" w:type="dxa"/>
            <w:vAlign w:val="top"/>
          </w:tcPr>
          <w:p>
            <w:pPr>
              <w:autoSpaceDE w:val="0"/>
              <w:autoSpaceDN w:val="0"/>
              <w:rPr>
                <w:rFonts w:hint="eastAsia" w:ascii="仿宋_GB2312" w:hAnsi="仿宋_GB2312" w:eastAsia="仿宋_GB2312"/>
                <w:color w:val="000000"/>
                <w:sz w:val="24"/>
                <w:lang w:eastAsia="zh-CN"/>
              </w:rPr>
            </w:pPr>
            <w:r>
              <w:rPr>
                <w:rFonts w:hint="eastAsia" w:ascii="仿宋_GB2312" w:hAnsi="仿宋_GB2312" w:eastAsia="仿宋_GB2312"/>
                <w:color w:val="000000"/>
                <w:sz w:val="24"/>
                <w:lang w:val="en-US" w:eastAsia="zh-CN"/>
              </w:rPr>
              <w:t>3411.65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其中：办公用房（平方米） </w:t>
            </w:r>
          </w:p>
        </w:tc>
        <w:tc>
          <w:tcPr>
            <w:tcW w:w="4513" w:type="dxa"/>
            <w:gridSpan w:val="2"/>
            <w:vAlign w:val="top"/>
          </w:tcPr>
          <w:p>
            <w:pPr>
              <w:autoSpaceDE w:val="0"/>
              <w:autoSpaceDN w:val="0"/>
              <w:rPr>
                <w:rFonts w:hint="eastAsia" w:ascii="仿宋_GB2312" w:hAnsi="仿宋_GB2312" w:eastAsia="仿宋_GB2312"/>
                <w:color w:val="000000"/>
                <w:sz w:val="24"/>
                <w:lang w:eastAsia="zh-CN"/>
              </w:rPr>
            </w:pPr>
            <w:r>
              <w:rPr>
                <w:rFonts w:hint="eastAsia" w:ascii="仿宋_GB2312" w:hAnsi="仿宋_GB2312" w:eastAsia="仿宋_GB2312"/>
                <w:color w:val="000000"/>
                <w:sz w:val="24"/>
                <w:lang w:val="en-US" w:eastAsia="zh-CN"/>
              </w:rPr>
              <w:t>20919.00</w:t>
            </w:r>
          </w:p>
        </w:tc>
        <w:tc>
          <w:tcPr>
            <w:tcW w:w="4514" w:type="dxa"/>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3411</w:t>
            </w:r>
            <w:r>
              <w:rPr>
                <w:rFonts w:hint="eastAsia" w:ascii="仿宋_GB2312" w:hAnsi="仿宋_GB2312" w:eastAsia="仿宋_GB2312"/>
                <w:color w:val="000000"/>
                <w:sz w:val="24"/>
                <w:lang w:val="en-US" w:eastAsia="zh-CN"/>
              </w:rPr>
              <w:t>.</w:t>
            </w:r>
            <w:r>
              <w:rPr>
                <w:rFonts w:hint="eastAsia" w:ascii="仿宋_GB2312" w:hAnsi="仿宋_GB2312" w:eastAsia="仿宋_GB2312"/>
                <w:color w:val="00000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2、车辆（台、辆） </w:t>
            </w:r>
          </w:p>
        </w:tc>
        <w:tc>
          <w:tcPr>
            <w:tcW w:w="4513" w:type="dxa"/>
            <w:gridSpan w:val="2"/>
            <w:vAlign w:val="top"/>
          </w:tcPr>
          <w:p>
            <w:pPr>
              <w:autoSpaceDE w:val="0"/>
              <w:autoSpaceDN w:val="0"/>
              <w:rPr>
                <w:rFonts w:hint="eastAsia" w:ascii="仿宋_GB2312" w:hAnsi="仿宋_GB2312" w:eastAsia="仿宋_GB2312"/>
                <w:color w:val="000000"/>
                <w:sz w:val="24"/>
                <w:lang w:eastAsia="zh-CN"/>
              </w:rPr>
            </w:pPr>
            <w:r>
              <w:rPr>
                <w:rFonts w:hint="eastAsia" w:ascii="仿宋_GB2312" w:hAnsi="仿宋_GB2312" w:eastAsia="仿宋_GB2312"/>
                <w:color w:val="000000"/>
                <w:sz w:val="24"/>
                <w:lang w:val="en-US" w:eastAsia="zh-CN"/>
              </w:rPr>
              <w:t>2</w:t>
            </w:r>
          </w:p>
        </w:tc>
        <w:tc>
          <w:tcPr>
            <w:tcW w:w="4514" w:type="dxa"/>
            <w:vAlign w:val="top"/>
          </w:tcPr>
          <w:p>
            <w:pPr>
              <w:autoSpaceDE w:val="0"/>
              <w:autoSpaceDN w:val="0"/>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3、</w:t>
            </w:r>
            <w:r>
              <w:rPr>
                <w:rFonts w:hint="eastAsia" w:ascii="仿宋_GB2312" w:hAnsi="仿宋_GB2312" w:eastAsia="仿宋_GB2312"/>
                <w:color w:val="000000"/>
                <w:sz w:val="24"/>
                <w:lang w:eastAsia="zh-CN"/>
              </w:rPr>
              <w:t>其他</w:t>
            </w:r>
            <w:r>
              <w:rPr>
                <w:rFonts w:hint="eastAsia" w:ascii="仿宋_GB2312" w:hAnsi="仿宋_GB2312" w:eastAsia="仿宋_GB2312"/>
                <w:color w:val="000000"/>
                <w:sz w:val="24"/>
              </w:rPr>
              <w:t xml:space="preserve">设备 </w:t>
            </w:r>
          </w:p>
        </w:tc>
        <w:tc>
          <w:tcPr>
            <w:tcW w:w="4513" w:type="dxa"/>
            <w:gridSpan w:val="2"/>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 </w:t>
            </w:r>
          </w:p>
        </w:tc>
        <w:tc>
          <w:tcPr>
            <w:tcW w:w="4514" w:type="dxa"/>
            <w:vAlign w:val="top"/>
          </w:tcPr>
          <w:p>
            <w:pPr>
              <w:autoSpaceDE w:val="0"/>
              <w:autoSpaceDN w:val="0"/>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4513" w:type="dxa"/>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4、其他固定资产 </w:t>
            </w:r>
          </w:p>
        </w:tc>
        <w:tc>
          <w:tcPr>
            <w:tcW w:w="4513" w:type="dxa"/>
            <w:gridSpan w:val="2"/>
            <w:vAlign w:val="top"/>
          </w:tcPr>
          <w:p>
            <w:pPr>
              <w:autoSpaceDE w:val="0"/>
              <w:autoSpaceDN w:val="0"/>
              <w:rPr>
                <w:rFonts w:hint="eastAsia" w:ascii="仿宋_GB2312" w:hAnsi="仿宋_GB2312" w:eastAsia="仿宋_GB2312"/>
                <w:color w:val="000000"/>
                <w:sz w:val="24"/>
              </w:rPr>
            </w:pPr>
            <w:r>
              <w:rPr>
                <w:rFonts w:hint="eastAsia" w:ascii="仿宋_GB2312" w:hAnsi="仿宋_GB2312" w:eastAsia="仿宋_GB2312"/>
                <w:color w:val="000000"/>
                <w:sz w:val="24"/>
              </w:rPr>
              <w:t xml:space="preserve">—— </w:t>
            </w:r>
          </w:p>
        </w:tc>
        <w:tc>
          <w:tcPr>
            <w:tcW w:w="4514" w:type="dxa"/>
            <w:vAlign w:val="top"/>
          </w:tcPr>
          <w:p>
            <w:pPr>
              <w:autoSpaceDE w:val="0"/>
              <w:autoSpaceDN w:val="0"/>
              <w:rPr>
                <w:rFonts w:hint="eastAsia" w:ascii="仿宋_GB2312" w:hAnsi="仿宋_GB2312" w:eastAsia="仿宋_GB2312"/>
                <w:color w:val="000000"/>
                <w:sz w:val="24"/>
                <w:lang w:eastAsia="zh-CN"/>
              </w:rPr>
            </w:pPr>
            <w:r>
              <w:rPr>
                <w:rFonts w:hint="eastAsia" w:ascii="仿宋_GB2312" w:hAnsi="仿宋_GB2312" w:eastAsia="仿宋_GB2312"/>
                <w:color w:val="000000"/>
                <w:sz w:val="24"/>
                <w:lang w:val="en-US" w:eastAsia="zh-CN"/>
              </w:rPr>
              <w:t>3058.09</w:t>
            </w:r>
          </w:p>
        </w:tc>
      </w:tr>
    </w:tbl>
    <w:p>
      <w:pPr>
        <w:autoSpaceDE w:val="0"/>
        <w:autoSpaceDN w:val="0"/>
        <w:rPr>
          <w:rFonts w:hint="eastAsia" w:ascii="黑体" w:hAnsi="黑体" w:eastAsia="黑体"/>
          <w:bCs/>
          <w:color w:val="000000"/>
          <w:sz w:val="32"/>
        </w:rPr>
      </w:pPr>
      <w:r>
        <w:rPr>
          <w:rFonts w:hint="eastAsia" w:ascii="黑体" w:hAnsi="黑体" w:eastAsia="黑体"/>
          <w:bCs/>
          <w:color w:val="000000"/>
          <w:sz w:val="32"/>
        </w:rPr>
        <w:t xml:space="preserve">   </w:t>
      </w:r>
    </w:p>
    <w:p>
      <w:pPr>
        <w:autoSpaceDE w:val="0"/>
        <w:autoSpaceDN w:val="0"/>
        <w:rPr>
          <w:rFonts w:hint="eastAsia" w:ascii="黑体" w:hAnsi="黑体" w:eastAsia="黑体"/>
          <w:bCs/>
          <w:color w:val="000000"/>
          <w:sz w:val="32"/>
        </w:rPr>
      </w:pPr>
      <w:r>
        <w:rPr>
          <w:rFonts w:hint="eastAsia" w:ascii="黑体" w:hAnsi="黑体" w:eastAsia="黑体"/>
          <w:bCs/>
          <w:color w:val="000000"/>
          <w:sz w:val="32"/>
        </w:rPr>
        <w:t xml:space="preserve"> 八、名词解释</w:t>
      </w:r>
    </w:p>
    <w:p>
      <w:pPr>
        <w:ind w:firstLine="707" w:firstLineChars="220"/>
        <w:rPr>
          <w:rFonts w:hint="eastAsia" w:ascii="仿宋_GB2312" w:hAnsi="仿宋_GB2312" w:eastAsia="仿宋_GB2312"/>
          <w:color w:val="000000"/>
          <w:sz w:val="32"/>
        </w:rPr>
      </w:pPr>
      <w:r>
        <w:rPr>
          <w:rFonts w:hint="eastAsia" w:ascii="仿宋_GB2312" w:hAnsi="仿宋_GB2312" w:eastAsia="仿宋_GB2312"/>
          <w:b/>
          <w:color w:val="000000"/>
          <w:sz w:val="32"/>
        </w:rPr>
        <w:t>1</w:t>
      </w:r>
      <w:r>
        <w:rPr>
          <w:rFonts w:hint="eastAsia" w:ascii="仿宋_GB2312" w:hAnsi="仿宋_GB2312" w:eastAsia="仿宋_GB2312"/>
          <w:color w:val="000000"/>
          <w:sz w:val="32"/>
        </w:rPr>
        <w:t>、一般共预算拨款收入：指省级财政当年拨付的资金。</w:t>
      </w:r>
    </w:p>
    <w:p>
      <w:pPr>
        <w:autoSpaceDE w:val="0"/>
        <w:autoSpaceDN w:val="0"/>
        <w:ind w:firstLine="707" w:firstLineChars="220"/>
        <w:rPr>
          <w:rFonts w:hint="eastAsia" w:ascii="仿宋_GB2312" w:hAnsi="仿宋_GB2312" w:eastAsia="仿宋_GB2312"/>
          <w:color w:val="000000"/>
          <w:sz w:val="32"/>
        </w:rPr>
      </w:pPr>
      <w:r>
        <w:rPr>
          <w:rFonts w:hint="eastAsia" w:ascii="仿宋_GB2312" w:hAnsi="仿宋_GB2312" w:eastAsia="仿宋_GB2312"/>
          <w:b/>
          <w:color w:val="000000"/>
          <w:sz w:val="32"/>
        </w:rPr>
        <w:t>2</w:t>
      </w:r>
      <w:r>
        <w:rPr>
          <w:rFonts w:hint="eastAsia" w:ascii="仿宋_GB2312" w:hAnsi="仿宋_GB2312" w:eastAsia="仿宋_GB2312"/>
          <w:color w:val="000000"/>
          <w:sz w:val="32"/>
        </w:rPr>
        <w:t>、事业收入：指事业单位开展专业业务活动及辅助活动所取得的收入。</w:t>
      </w:r>
    </w:p>
    <w:p>
      <w:pPr>
        <w:autoSpaceDE w:val="0"/>
        <w:autoSpaceDN w:val="0"/>
        <w:ind w:firstLine="707" w:firstLineChars="220"/>
        <w:rPr>
          <w:rFonts w:hint="eastAsia" w:ascii="仿宋_GB2312" w:hAnsi="仿宋_GB2312" w:eastAsia="仿宋_GB2312"/>
          <w:color w:val="000000"/>
          <w:sz w:val="32"/>
        </w:rPr>
      </w:pPr>
      <w:r>
        <w:rPr>
          <w:rFonts w:hint="eastAsia" w:ascii="仿宋_GB2312" w:hAnsi="仿宋_GB2312" w:eastAsia="仿宋_GB2312"/>
          <w:b/>
          <w:color w:val="000000"/>
          <w:sz w:val="32"/>
        </w:rPr>
        <w:t>3</w:t>
      </w:r>
      <w:r>
        <w:rPr>
          <w:rFonts w:hint="eastAsia" w:ascii="仿宋_GB2312" w:hAnsi="仿宋_GB2312" w:eastAsia="仿宋_GB2312"/>
          <w:color w:val="000000"/>
          <w:sz w:val="32"/>
        </w:rPr>
        <w:t>、其他收入：指除上述“财政拨款收入”、“事业收入”等以外的收入。</w:t>
      </w:r>
    </w:p>
    <w:p>
      <w:pPr>
        <w:autoSpaceDE w:val="0"/>
        <w:autoSpaceDN w:val="0"/>
        <w:ind w:firstLine="707" w:firstLineChars="220"/>
        <w:rPr>
          <w:rFonts w:hint="eastAsia" w:ascii="仿宋_GB2312" w:hAnsi="仿宋_GB2312" w:eastAsia="仿宋_GB2312"/>
          <w:color w:val="000000"/>
          <w:sz w:val="32"/>
        </w:rPr>
      </w:pPr>
      <w:r>
        <w:rPr>
          <w:rFonts w:hint="eastAsia" w:ascii="仿宋_GB2312" w:hAnsi="仿宋_GB2312" w:eastAsia="仿宋_GB2312"/>
          <w:b/>
          <w:color w:val="000000"/>
          <w:sz w:val="32"/>
        </w:rPr>
        <w:t>4</w:t>
      </w:r>
      <w:r>
        <w:rPr>
          <w:rFonts w:hint="eastAsia" w:ascii="仿宋_GB2312" w:hAnsi="仿宋_GB2312" w:eastAsia="仿宋_GB2312"/>
          <w:color w:val="000000"/>
          <w:sz w:val="32"/>
        </w:rPr>
        <w:t>、基本支出：指为保障机构正常运转、完成日常工作任务而发生的人员支出和公用支出。</w:t>
      </w:r>
    </w:p>
    <w:p>
      <w:pPr>
        <w:autoSpaceDE w:val="0"/>
        <w:autoSpaceDN w:val="0"/>
        <w:ind w:firstLine="707" w:firstLineChars="220"/>
        <w:rPr>
          <w:rFonts w:hint="eastAsia" w:ascii="仿宋_GB2312" w:hAnsi="仿宋_GB2312" w:eastAsia="仿宋_GB2312"/>
          <w:color w:val="000000"/>
          <w:sz w:val="32"/>
        </w:rPr>
      </w:pPr>
      <w:r>
        <w:rPr>
          <w:rFonts w:hint="eastAsia" w:ascii="仿宋_GB2312" w:hAnsi="仿宋_GB2312" w:eastAsia="仿宋_GB2312"/>
          <w:b/>
          <w:color w:val="000000"/>
          <w:sz w:val="32"/>
        </w:rPr>
        <w:t>5</w:t>
      </w:r>
      <w:r>
        <w:rPr>
          <w:rFonts w:hint="eastAsia" w:ascii="仿宋_GB2312" w:hAnsi="仿宋_GB2312" w:eastAsia="仿宋_GB2312"/>
          <w:color w:val="000000"/>
          <w:sz w:val="32"/>
        </w:rPr>
        <w:t>、项目支出：指在基本支出之外为完成特定行政任务和事业发展目标所发生的支出。</w:t>
      </w:r>
    </w:p>
    <w:p>
      <w:pPr>
        <w:autoSpaceDE w:val="0"/>
        <w:autoSpaceDN w:val="0"/>
        <w:ind w:firstLine="707" w:firstLineChars="220"/>
        <w:rPr>
          <w:rFonts w:hint="eastAsia" w:ascii="仿宋_GB2312" w:hAnsi="仿宋_GB2312" w:eastAsia="仿宋_GB2312"/>
          <w:color w:val="000000"/>
          <w:sz w:val="32"/>
        </w:rPr>
      </w:pPr>
      <w:r>
        <w:rPr>
          <w:rFonts w:hint="eastAsia" w:ascii="仿宋_GB2312" w:hAnsi="仿宋_GB2312" w:eastAsia="仿宋_GB2312"/>
          <w:b/>
          <w:color w:val="000000"/>
          <w:sz w:val="32"/>
        </w:rPr>
        <w:t>6</w:t>
      </w:r>
      <w:r>
        <w:rPr>
          <w:rFonts w:hint="eastAsia" w:ascii="仿宋_GB2312" w:hAnsi="仿宋_GB2312" w:eastAsia="仿宋_GB2312"/>
          <w:color w:val="000000"/>
          <w:sz w:val="32"/>
        </w:rPr>
        <w:t>、上缴上级支出：指所属单位上缴上级的支出。</w:t>
      </w:r>
    </w:p>
    <w:p>
      <w:pPr>
        <w:autoSpaceDE w:val="0"/>
        <w:autoSpaceDN w:val="0"/>
        <w:ind w:firstLine="707" w:firstLineChars="220"/>
        <w:rPr>
          <w:rFonts w:hint="eastAsia" w:ascii="仿宋_GB2312" w:hAnsi="仿宋_GB2312" w:eastAsia="仿宋_GB2312"/>
          <w:color w:val="000000"/>
          <w:sz w:val="32"/>
        </w:rPr>
      </w:pPr>
      <w:r>
        <w:rPr>
          <w:rFonts w:hint="eastAsia" w:ascii="仿宋_GB2312" w:hAnsi="仿宋_GB2312" w:eastAsia="仿宋_GB2312"/>
          <w:b/>
          <w:color w:val="000000"/>
          <w:sz w:val="32"/>
        </w:rPr>
        <w:t>7</w:t>
      </w:r>
      <w:r>
        <w:rPr>
          <w:rFonts w:hint="eastAsia" w:ascii="仿宋_GB2312" w:hAnsi="仿宋_GB2312" w:eastAsia="仿宋_GB2312"/>
          <w:color w:val="000000"/>
          <w:sz w:val="32"/>
        </w:rPr>
        <w:t>、</w:t>
      </w:r>
      <w:r>
        <w:rPr>
          <w:rFonts w:hint="eastAsia" w:ascii="仿宋_GB2312" w:hAnsi="仿宋_GB2312" w:eastAsia="仿宋_GB2312"/>
          <w:b/>
          <w:color w:val="000000"/>
          <w:sz w:val="32"/>
        </w:rPr>
        <w:t>“</w:t>
      </w:r>
      <w:r>
        <w:rPr>
          <w:rFonts w:hint="eastAsia" w:ascii="仿宋_GB2312" w:hAnsi="仿宋_GB2312" w:eastAsia="仿宋_GB2312"/>
          <w:color w:val="000000"/>
          <w:sz w:val="32"/>
        </w:rPr>
        <w:t>三公</w:t>
      </w:r>
      <w:r>
        <w:rPr>
          <w:rFonts w:hint="eastAsia" w:ascii="仿宋_GB2312" w:hAnsi="仿宋_GB2312" w:eastAsia="仿宋_GB2312"/>
          <w:b/>
          <w:color w:val="000000"/>
          <w:sz w:val="32"/>
        </w:rPr>
        <w:t>”</w:t>
      </w:r>
      <w:r>
        <w:rPr>
          <w:rFonts w:hint="eastAsia" w:ascii="仿宋_GB2312" w:hAnsi="仿宋_GB2312" w:eastAsia="仿宋_GB2312"/>
          <w:color w:val="000000"/>
          <w:sz w:val="32"/>
        </w:rPr>
        <w:t>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支出。</w:t>
      </w:r>
    </w:p>
    <w:p>
      <w:pPr>
        <w:ind w:firstLine="707" w:firstLineChars="220"/>
        <w:rPr>
          <w:rFonts w:hint="eastAsia" w:ascii="仿宋_GB2312" w:hAnsi="仿宋_GB2312" w:eastAsia="仿宋_GB2312"/>
          <w:color w:val="000000"/>
          <w:sz w:val="32"/>
        </w:rPr>
      </w:pPr>
      <w:r>
        <w:rPr>
          <w:rFonts w:hint="eastAsia" w:ascii="仿宋_GB2312" w:hAnsi="仿宋_GB2312" w:eastAsia="仿宋_GB2312"/>
          <w:b/>
          <w:color w:val="000000"/>
          <w:sz w:val="32"/>
        </w:rPr>
        <w:t>8</w:t>
      </w:r>
      <w:r>
        <w:rPr>
          <w:rFonts w:hint="eastAsia" w:ascii="仿宋_GB2312" w:hAnsi="仿宋_GB2312" w:eastAsia="仿宋_GB2312"/>
          <w:color w:val="000000"/>
          <w:sz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rPr>
          <w:rFonts w:hint="eastAsia" w:ascii="黑体" w:hAnsi="黑体" w:eastAsia="黑体"/>
          <w:bCs/>
          <w:color w:val="000000"/>
          <w:sz w:val="32"/>
        </w:rPr>
      </w:pPr>
      <w:r>
        <w:rPr>
          <w:rFonts w:hint="eastAsia" w:ascii="黑体" w:hAnsi="黑体" w:eastAsia="黑体"/>
          <w:bCs/>
          <w:color w:val="000000"/>
          <w:sz w:val="32"/>
        </w:rPr>
        <w:t>九、其他需说明事项</w:t>
      </w:r>
    </w:p>
    <w:p>
      <w:pPr>
        <w:ind w:firstLine="480" w:firstLineChars="150"/>
        <w:rPr>
          <w:rFonts w:hint="eastAsia" w:ascii="仿宋_GB2312" w:hAnsi="仿宋_GB2312" w:eastAsia="仿宋_GB2312"/>
          <w:color w:val="000000"/>
          <w:sz w:val="32"/>
        </w:rPr>
      </w:pPr>
      <w:r>
        <w:rPr>
          <w:rFonts w:hint="eastAsia" w:ascii="仿宋_GB2312" w:hAnsi="仿宋_GB2312" w:eastAsia="仿宋_GB2312"/>
          <w:color w:val="000000"/>
          <w:sz w:val="32"/>
        </w:rPr>
        <w:t>无其他需说明事项</w:t>
      </w:r>
    </w:p>
    <w:p>
      <w:pPr>
        <w:spacing w:line="300" w:lineRule="exact"/>
        <w:jc w:val="left"/>
        <w:outlineLvl w:val="0"/>
        <w:rPr>
          <w:rFonts w:hint="eastAsia" w:ascii="仿宋_GB2312" w:hAnsi="仿宋_GB2312" w:eastAsia="仿宋_GB2312"/>
          <w:color w:val="000000"/>
          <w:sz w:val="32"/>
        </w:rPr>
        <w:sectPr>
          <w:pgSz w:w="16839" w:h="11907" w:orient="landscape"/>
          <w:pgMar w:top="1020" w:right="1361" w:bottom="1020" w:left="1361" w:header="851" w:footer="992" w:gutter="0"/>
          <w:cols w:space="425" w:num="1"/>
          <w:docGrid w:type="lines" w:linePitch="312" w:charSpace="0"/>
        </w:sectPr>
      </w:pPr>
    </w:p>
    <w:p>
      <w:pPr>
        <w:pStyle w:val="2"/>
        <w:rPr>
          <w:rFonts w:hint="eastAsia" w:ascii="仿宋" w:hAnsi="仿宋" w:eastAsia="仿宋" w:cs="仿宋"/>
          <w:sz w:val="32"/>
          <w:szCs w:val="32"/>
        </w:rPr>
      </w:pPr>
    </w:p>
    <w:sectPr>
      <w:pgSz w:w="15840" w:h="12240" w:orient="landscape"/>
      <w:pgMar w:top="1134" w:right="1134" w:bottom="1134" w:left="1134"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FZXiaoBiaoSong-B05">
    <w:altName w:val="Segoe Print"/>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FZFangSong-Z02">
    <w:altName w:val="Segoe Print"/>
    <w:panose1 w:val="00000000000000000000"/>
    <w:charset w:val="00"/>
    <w:family w:val="swiss"/>
    <w:pitch w:val="default"/>
    <w:sig w:usb0="00000000" w:usb1="00000000" w:usb2="00000000" w:usb3="00000000" w:csb0="00000001" w:csb1="00000000"/>
  </w:font>
  <w:font w:name="方正书宋_GBK">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VerticalSpacing w:val="160"/>
  <w:displayHorizontalDrawingGridEvery w:val="1"/>
  <w:displayVerticalDrawingGridEvery w:val="2"/>
  <w:noPunctuationKerning w:val="1"/>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A4E01"/>
    <w:rsid w:val="2B3E47CB"/>
    <w:rsid w:val="36C35DB1"/>
    <w:rsid w:val="3CFB1E57"/>
    <w:rsid w:val="3D7E6712"/>
    <w:rsid w:val="46C344C2"/>
    <w:rsid w:val="771D31BE"/>
    <w:rsid w:val="7E6868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2017-05-09T03:24:00Z</dcterms:created>
  <dc:creator>Lenovo</dc:creator>
  <cp:lastModifiedBy>Lenovo</cp:lastModifiedBy>
  <dcterms:modified xsi:type="dcterms:W3CDTF">2017-05-10T02:04:56Z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